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6D6F" w14:textId="6D2AA6E5" w:rsidR="00457849" w:rsidRDefault="00457849" w:rsidP="009B6420">
      <w:pPr>
        <w:pStyle w:val="TitlePage1"/>
      </w:pPr>
      <w:r>
        <w:t>VICTORIAN CIVIL AND ADMINISTRATIVE TRIBUNAL</w:t>
      </w:r>
    </w:p>
    <w:p w14:paraId="4A7A06A0" w14:textId="77777777" w:rsidR="00457849" w:rsidRDefault="00457849" w:rsidP="009B6420">
      <w:pPr>
        <w:pStyle w:val="TitlePage1"/>
      </w:pPr>
      <w:r>
        <w:t>human rights DIVISION</w:t>
      </w:r>
    </w:p>
    <w:tbl>
      <w:tblPr>
        <w:tblW w:w="5000" w:type="pct"/>
        <w:tblLook w:val="0000" w:firstRow="0" w:lastRow="0" w:firstColumn="0" w:lastColumn="0" w:noHBand="0" w:noVBand="0"/>
      </w:tblPr>
      <w:tblGrid>
        <w:gridCol w:w="4319"/>
        <w:gridCol w:w="4186"/>
      </w:tblGrid>
      <w:tr w:rsidR="00457849" w14:paraId="30E0468E" w14:textId="77777777" w:rsidTr="006055E1">
        <w:trPr>
          <w:cantSplit/>
        </w:trPr>
        <w:tc>
          <w:tcPr>
            <w:tcW w:w="2539" w:type="pct"/>
          </w:tcPr>
          <w:p w14:paraId="465D1705" w14:textId="77777777" w:rsidR="00457849" w:rsidRDefault="00457849" w:rsidP="006055E1">
            <w:pPr>
              <w:pStyle w:val="TitlePage2"/>
            </w:pPr>
            <w:r>
              <w:t>HUMan rights LIST</w:t>
            </w:r>
          </w:p>
        </w:tc>
        <w:tc>
          <w:tcPr>
            <w:tcW w:w="2461" w:type="pct"/>
          </w:tcPr>
          <w:p w14:paraId="7C48EE0F" w14:textId="77777777" w:rsidR="00457849" w:rsidRDefault="00457849" w:rsidP="006055E1">
            <w:pPr>
              <w:pStyle w:val="TitlePage3"/>
            </w:pPr>
          </w:p>
          <w:p w14:paraId="14E1AE16" w14:textId="558ED4A8" w:rsidR="00457849" w:rsidRDefault="00457849" w:rsidP="006055E1">
            <w:pPr>
              <w:pStyle w:val="TitlePage3"/>
            </w:pPr>
            <w:r>
              <w:t>vcat reference No</w:t>
            </w:r>
            <w:r w:rsidRPr="00704477">
              <w:t xml:space="preserve">. </w:t>
            </w:r>
            <w:r w:rsidRPr="0047483C">
              <w:rPr>
                <w:bCs/>
                <w:noProof/>
              </w:rPr>
              <w:t>H</w:t>
            </w:r>
            <w:r w:rsidR="007613DF">
              <w:rPr>
                <w:bCs/>
                <w:noProof/>
              </w:rPr>
              <w:t>256/2022</w:t>
            </w:r>
          </w:p>
        </w:tc>
      </w:tr>
      <w:tr w:rsidR="00457849" w14:paraId="30966F2A" w14:textId="77777777" w:rsidTr="006055E1">
        <w:tblPrEx>
          <w:jc w:val="center"/>
        </w:tblPrEx>
        <w:trPr>
          <w:cantSplit/>
          <w:jc w:val="center"/>
        </w:trPr>
        <w:tc>
          <w:tcPr>
            <w:tcW w:w="5000" w:type="pct"/>
            <w:gridSpan w:val="2"/>
          </w:tcPr>
          <w:p w14:paraId="26FF70C8" w14:textId="77777777" w:rsidR="00457849" w:rsidRDefault="00457849" w:rsidP="006055E1">
            <w:pPr>
              <w:pStyle w:val="TitlePage2"/>
              <w:jc w:val="center"/>
            </w:pPr>
            <w:r>
              <w:t>CATCHWORDS</w:t>
            </w:r>
          </w:p>
        </w:tc>
      </w:tr>
      <w:tr w:rsidR="00457849" w14:paraId="4F230DCC" w14:textId="77777777" w:rsidTr="006055E1">
        <w:tblPrEx>
          <w:jc w:val="center"/>
        </w:tblPrEx>
        <w:trPr>
          <w:cantSplit/>
          <w:jc w:val="center"/>
        </w:trPr>
        <w:tc>
          <w:tcPr>
            <w:tcW w:w="5000" w:type="pct"/>
            <w:gridSpan w:val="2"/>
          </w:tcPr>
          <w:p w14:paraId="1633752D" w14:textId="1467280A" w:rsidR="00457849" w:rsidRDefault="006F6146" w:rsidP="00457849">
            <w:pPr>
              <w:pStyle w:val="Catchwords"/>
              <w:rPr>
                <w:color w:val="000000"/>
              </w:rPr>
            </w:pPr>
            <w:r>
              <w:rPr>
                <w:color w:val="000000"/>
                <w:szCs w:val="20"/>
              </w:rPr>
              <w:t xml:space="preserve">Human Rights List </w:t>
            </w:r>
            <w:r>
              <w:rPr>
                <w:rFonts w:ascii="Arial" w:hAnsi="Arial" w:cs="Arial"/>
                <w:color w:val="202124"/>
                <w:sz w:val="21"/>
                <w:szCs w:val="21"/>
                <w:shd w:val="clear" w:color="auto" w:fill="FFFFFF"/>
              </w:rPr>
              <w:t xml:space="preserve">– </w:t>
            </w:r>
            <w:r>
              <w:rPr>
                <w:color w:val="000000"/>
                <w:szCs w:val="20"/>
              </w:rPr>
              <w:t>a</w:t>
            </w:r>
            <w:r w:rsidRPr="00ED3609">
              <w:rPr>
                <w:color w:val="000000"/>
                <w:szCs w:val="20"/>
              </w:rPr>
              <w:t xml:space="preserve">pplication </w:t>
            </w:r>
            <w:r w:rsidR="00457849" w:rsidRPr="00ED3609">
              <w:rPr>
                <w:color w:val="000000"/>
                <w:szCs w:val="20"/>
              </w:rPr>
              <w:t>under s</w:t>
            </w:r>
            <w:r w:rsidR="00457849">
              <w:rPr>
                <w:color w:val="000000"/>
                <w:szCs w:val="20"/>
              </w:rPr>
              <w:t>ection</w:t>
            </w:r>
            <w:r w:rsidR="00457849" w:rsidRPr="00ED3609">
              <w:rPr>
                <w:color w:val="000000"/>
                <w:szCs w:val="20"/>
              </w:rPr>
              <w:t xml:space="preserve"> 75(1) of the</w:t>
            </w:r>
            <w:r w:rsidR="00457849" w:rsidRPr="00ED3609">
              <w:rPr>
                <w:i/>
                <w:iCs/>
                <w:color w:val="000000"/>
                <w:szCs w:val="20"/>
              </w:rPr>
              <w:t xml:space="preserve"> Victorian Civil and Administrative Tribunal Act 1998</w:t>
            </w:r>
            <w:r w:rsidR="00457849">
              <w:rPr>
                <w:i/>
                <w:iCs/>
                <w:color w:val="000000"/>
                <w:szCs w:val="20"/>
              </w:rPr>
              <w:t xml:space="preserve"> </w:t>
            </w:r>
            <w:r w:rsidR="00457849">
              <w:rPr>
                <w:color w:val="000000"/>
                <w:szCs w:val="20"/>
              </w:rPr>
              <w:t>(Vic)</w:t>
            </w:r>
            <w:r w:rsidR="00457849" w:rsidRPr="00ED3609">
              <w:rPr>
                <w:i/>
                <w:iCs/>
                <w:color w:val="000000"/>
                <w:szCs w:val="20"/>
              </w:rPr>
              <w:t xml:space="preserve"> </w:t>
            </w:r>
            <w:r w:rsidR="00457849" w:rsidRPr="00ED3609">
              <w:rPr>
                <w:color w:val="000000"/>
                <w:szCs w:val="20"/>
              </w:rPr>
              <w:t xml:space="preserve">for summary dismissal of </w:t>
            </w:r>
            <w:r w:rsidR="00457849">
              <w:rPr>
                <w:color w:val="000000"/>
                <w:szCs w:val="20"/>
              </w:rPr>
              <w:t xml:space="preserve">privacy complaint referred under section 66(4) of the </w:t>
            </w:r>
            <w:r w:rsidR="00457849" w:rsidRPr="006746FE">
              <w:rPr>
                <w:i/>
                <w:iCs/>
                <w:color w:val="000000"/>
                <w:szCs w:val="20"/>
              </w:rPr>
              <w:t xml:space="preserve">Privacy and Data Protection Act </w:t>
            </w:r>
            <w:r w:rsidR="00457849" w:rsidRPr="00461CC1">
              <w:rPr>
                <w:i/>
                <w:iCs/>
                <w:color w:val="000000"/>
                <w:szCs w:val="20"/>
              </w:rPr>
              <w:t>2014</w:t>
            </w:r>
            <w:r w:rsidR="00882E00">
              <w:rPr>
                <w:i/>
                <w:iCs/>
                <w:color w:val="000000"/>
                <w:szCs w:val="20"/>
              </w:rPr>
              <w:t xml:space="preserve"> </w:t>
            </w:r>
            <w:r w:rsidR="00882E00">
              <w:rPr>
                <w:color w:val="000000"/>
                <w:szCs w:val="20"/>
              </w:rPr>
              <w:t>(Vic)</w:t>
            </w:r>
            <w:r w:rsidR="00457849" w:rsidRPr="00ED3609">
              <w:rPr>
                <w:i/>
                <w:iCs/>
                <w:color w:val="000000"/>
                <w:szCs w:val="20"/>
              </w:rPr>
              <w:t>.</w:t>
            </w:r>
          </w:p>
        </w:tc>
      </w:tr>
    </w:tbl>
    <w:p w14:paraId="0ED52BC5" w14:textId="77777777" w:rsidR="00457849" w:rsidRDefault="00457849" w:rsidP="009B6420"/>
    <w:p w14:paraId="22FCE42F" w14:textId="77777777" w:rsidR="00457849" w:rsidRDefault="00457849" w:rsidP="009B6420"/>
    <w:tbl>
      <w:tblPr>
        <w:tblW w:w="5000" w:type="pct"/>
        <w:tblLook w:val="0000" w:firstRow="0" w:lastRow="0" w:firstColumn="0" w:lastColumn="0" w:noHBand="0" w:noVBand="0"/>
      </w:tblPr>
      <w:tblGrid>
        <w:gridCol w:w="3441"/>
        <w:gridCol w:w="5064"/>
      </w:tblGrid>
      <w:tr w:rsidR="007613DF" w14:paraId="33BA2F3B" w14:textId="77777777" w:rsidTr="007613DF">
        <w:tc>
          <w:tcPr>
            <w:tcW w:w="2023" w:type="pct"/>
          </w:tcPr>
          <w:p w14:paraId="04F3636D" w14:textId="1192C640" w:rsidR="007613DF" w:rsidRDefault="00882E00" w:rsidP="00E63800">
            <w:pPr>
              <w:pStyle w:val="TitlePage2"/>
            </w:pPr>
            <w:r>
              <w:t>COMPLAINANT</w:t>
            </w:r>
            <w:r w:rsidR="007613DF">
              <w:t>:</w:t>
            </w:r>
          </w:p>
        </w:tc>
        <w:tc>
          <w:tcPr>
            <w:tcW w:w="2977" w:type="pct"/>
          </w:tcPr>
          <w:p w14:paraId="0839FD61" w14:textId="77777777" w:rsidR="007613DF" w:rsidRDefault="007613DF" w:rsidP="00E63800">
            <w:pPr>
              <w:spacing w:before="120" w:after="120"/>
              <w:rPr>
                <w:noProof/>
              </w:rPr>
            </w:pPr>
            <w:r>
              <w:rPr>
                <w:noProof/>
              </w:rPr>
              <w:t>Ekaterina Send</w:t>
            </w:r>
          </w:p>
        </w:tc>
      </w:tr>
      <w:tr w:rsidR="007613DF" w14:paraId="12F7B9EE" w14:textId="77777777" w:rsidTr="007613DF">
        <w:tc>
          <w:tcPr>
            <w:tcW w:w="2023" w:type="pct"/>
          </w:tcPr>
          <w:p w14:paraId="08B2BEBB" w14:textId="77777777" w:rsidR="007613DF" w:rsidRDefault="007613DF" w:rsidP="00E63800">
            <w:pPr>
              <w:pStyle w:val="TitlePage2"/>
            </w:pPr>
            <w:r>
              <w:t>RESPONDENT:</w:t>
            </w:r>
          </w:p>
        </w:tc>
        <w:tc>
          <w:tcPr>
            <w:tcW w:w="2977" w:type="pct"/>
          </w:tcPr>
          <w:p w14:paraId="4C4BCCAC" w14:textId="77777777" w:rsidR="007613DF" w:rsidRDefault="007613DF" w:rsidP="007613DF">
            <w:pPr>
              <w:spacing w:before="120" w:after="120"/>
              <w:rPr>
                <w:noProof/>
              </w:rPr>
            </w:pPr>
            <w:r>
              <w:rPr>
                <w:noProof/>
              </w:rPr>
              <w:t>Department of Jobs, Precincts and Regions</w:t>
            </w:r>
          </w:p>
        </w:tc>
      </w:tr>
      <w:tr w:rsidR="007613DF" w14:paraId="7303BABB" w14:textId="77777777" w:rsidTr="007613DF">
        <w:tc>
          <w:tcPr>
            <w:tcW w:w="2023" w:type="pct"/>
          </w:tcPr>
          <w:p w14:paraId="44A491F6" w14:textId="77777777" w:rsidR="007613DF" w:rsidRDefault="007613DF" w:rsidP="00E63800">
            <w:pPr>
              <w:pStyle w:val="TitlePage2"/>
            </w:pPr>
            <w:r>
              <w:t>WHERE HELD:</w:t>
            </w:r>
          </w:p>
        </w:tc>
        <w:tc>
          <w:tcPr>
            <w:tcW w:w="2977" w:type="pct"/>
          </w:tcPr>
          <w:p w14:paraId="7880748A" w14:textId="77777777" w:rsidR="007613DF" w:rsidRDefault="007613DF" w:rsidP="007613DF">
            <w:pPr>
              <w:spacing w:before="120" w:after="120"/>
              <w:rPr>
                <w:noProof/>
              </w:rPr>
            </w:pPr>
            <w:r>
              <w:rPr>
                <w:noProof/>
              </w:rPr>
              <w:t>Melbourne</w:t>
            </w:r>
          </w:p>
        </w:tc>
      </w:tr>
      <w:tr w:rsidR="007613DF" w14:paraId="6791B75A" w14:textId="77777777" w:rsidTr="007613DF">
        <w:tc>
          <w:tcPr>
            <w:tcW w:w="2023" w:type="pct"/>
          </w:tcPr>
          <w:p w14:paraId="711F87A6" w14:textId="77777777" w:rsidR="007613DF" w:rsidRDefault="007613DF" w:rsidP="00E63800">
            <w:pPr>
              <w:pStyle w:val="TitlePage2"/>
            </w:pPr>
            <w:r>
              <w:t>BEFORE:</w:t>
            </w:r>
          </w:p>
        </w:tc>
        <w:tc>
          <w:tcPr>
            <w:tcW w:w="2977" w:type="pct"/>
          </w:tcPr>
          <w:p w14:paraId="61A3E4E9" w14:textId="77777777" w:rsidR="007613DF" w:rsidRDefault="007613DF" w:rsidP="007613DF">
            <w:pPr>
              <w:spacing w:before="120" w:after="120"/>
              <w:rPr>
                <w:noProof/>
              </w:rPr>
            </w:pPr>
            <w:r>
              <w:rPr>
                <w:noProof/>
              </w:rPr>
              <w:t>Member C. Thwaites</w:t>
            </w:r>
          </w:p>
        </w:tc>
      </w:tr>
      <w:tr w:rsidR="007613DF" w14:paraId="682B298F" w14:textId="77777777" w:rsidTr="007613DF">
        <w:tc>
          <w:tcPr>
            <w:tcW w:w="2023" w:type="pct"/>
          </w:tcPr>
          <w:p w14:paraId="5C33E96F" w14:textId="77777777" w:rsidR="007613DF" w:rsidRDefault="007613DF" w:rsidP="00E63800">
            <w:pPr>
              <w:pStyle w:val="TitlePage2"/>
            </w:pPr>
            <w:r>
              <w:t>HEARING TYPE:</w:t>
            </w:r>
          </w:p>
        </w:tc>
        <w:tc>
          <w:tcPr>
            <w:tcW w:w="2977" w:type="pct"/>
          </w:tcPr>
          <w:p w14:paraId="4E8F3D30" w14:textId="77777777" w:rsidR="007613DF" w:rsidRDefault="007613DF" w:rsidP="007613DF">
            <w:pPr>
              <w:spacing w:before="120" w:after="120"/>
              <w:rPr>
                <w:noProof/>
              </w:rPr>
            </w:pPr>
            <w:r>
              <w:rPr>
                <w:noProof/>
              </w:rPr>
              <w:t>Section 75 Summary Dismissal Hearing</w:t>
            </w:r>
          </w:p>
        </w:tc>
      </w:tr>
      <w:tr w:rsidR="007613DF" w14:paraId="32C0EBFE" w14:textId="77777777" w:rsidTr="007613DF">
        <w:tc>
          <w:tcPr>
            <w:tcW w:w="2023" w:type="pct"/>
          </w:tcPr>
          <w:p w14:paraId="5AE64BF5" w14:textId="77777777" w:rsidR="007613DF" w:rsidRDefault="007613DF" w:rsidP="00E63800">
            <w:pPr>
              <w:pStyle w:val="TitlePage2"/>
            </w:pPr>
            <w:r>
              <w:t>DATE OF HEARING:</w:t>
            </w:r>
          </w:p>
        </w:tc>
        <w:tc>
          <w:tcPr>
            <w:tcW w:w="2977" w:type="pct"/>
          </w:tcPr>
          <w:p w14:paraId="4FFCDD41" w14:textId="77777777" w:rsidR="007613DF" w:rsidRDefault="007613DF" w:rsidP="007613DF">
            <w:pPr>
              <w:spacing w:before="120" w:after="120"/>
              <w:rPr>
                <w:noProof/>
              </w:rPr>
            </w:pPr>
            <w:r>
              <w:rPr>
                <w:noProof/>
              </w:rPr>
              <w:t>16 August 2023</w:t>
            </w:r>
          </w:p>
        </w:tc>
      </w:tr>
      <w:tr w:rsidR="007613DF" w14:paraId="6ED07D17" w14:textId="77777777" w:rsidTr="007613DF">
        <w:tc>
          <w:tcPr>
            <w:tcW w:w="2023" w:type="pct"/>
          </w:tcPr>
          <w:p w14:paraId="2E2A3FE6" w14:textId="77777777" w:rsidR="007613DF" w:rsidRDefault="007613DF" w:rsidP="00E63800">
            <w:pPr>
              <w:pStyle w:val="TitlePage2"/>
            </w:pPr>
            <w:r>
              <w:t xml:space="preserve">DATE OF ORDER and </w:t>
            </w:r>
            <w:r w:rsidRPr="007613DF">
              <w:t>WRITTEN REASONS</w:t>
            </w:r>
          </w:p>
        </w:tc>
        <w:tc>
          <w:tcPr>
            <w:tcW w:w="2977" w:type="pct"/>
          </w:tcPr>
          <w:p w14:paraId="25E21F1E" w14:textId="35122970" w:rsidR="007613DF" w:rsidRDefault="00375AFC" w:rsidP="007613DF">
            <w:pPr>
              <w:spacing w:before="120" w:after="120"/>
              <w:rPr>
                <w:noProof/>
              </w:rPr>
            </w:pPr>
            <w:r>
              <w:rPr>
                <w:noProof/>
              </w:rPr>
              <w:t>21 November 2023</w:t>
            </w:r>
          </w:p>
        </w:tc>
      </w:tr>
      <w:tr w:rsidR="007613DF" w14:paraId="6DC9AB3A" w14:textId="77777777" w:rsidTr="007613DF">
        <w:tc>
          <w:tcPr>
            <w:tcW w:w="2023" w:type="pct"/>
          </w:tcPr>
          <w:p w14:paraId="4F5BC83A" w14:textId="77777777" w:rsidR="007613DF" w:rsidRPr="007613DF" w:rsidRDefault="007613DF" w:rsidP="007613DF">
            <w:pPr>
              <w:pStyle w:val="TitlePage2"/>
            </w:pPr>
            <w:r w:rsidRPr="007613DF">
              <w:t>CITATION</w:t>
            </w:r>
          </w:p>
        </w:tc>
        <w:tc>
          <w:tcPr>
            <w:tcW w:w="2977" w:type="pct"/>
          </w:tcPr>
          <w:p w14:paraId="0F1D3011" w14:textId="6B76A028" w:rsidR="007613DF" w:rsidRDefault="00375AFC" w:rsidP="007613DF">
            <w:pPr>
              <w:spacing w:before="120" w:after="120"/>
              <w:rPr>
                <w:noProof/>
              </w:rPr>
            </w:pPr>
            <w:r w:rsidRPr="00375AFC">
              <w:rPr>
                <w:noProof/>
              </w:rPr>
              <w:t>Send v Department of Jobs, Precincts and Regions (Human Rights) [2023] VCAT 1267</w:t>
            </w:r>
          </w:p>
        </w:tc>
      </w:tr>
    </w:tbl>
    <w:p w14:paraId="5C7B86C4" w14:textId="77777777" w:rsidR="00457849" w:rsidRDefault="00457849" w:rsidP="009B6420"/>
    <w:p w14:paraId="09EDE7B8" w14:textId="2FD6E134" w:rsidR="00457849" w:rsidRDefault="00457849" w:rsidP="009B6420">
      <w:pPr>
        <w:pStyle w:val="Heading1"/>
      </w:pPr>
      <w:r>
        <w:t>Order</w:t>
      </w:r>
      <w:r w:rsidR="000F1C8E">
        <w:t>s</w:t>
      </w:r>
    </w:p>
    <w:p w14:paraId="2A2AF3AD" w14:textId="14A6B404" w:rsidR="00AA2C8C" w:rsidRDefault="00AA2C8C" w:rsidP="00882E00">
      <w:pPr>
        <w:pStyle w:val="Order2"/>
      </w:pPr>
      <w:r w:rsidRPr="00882E00">
        <w:t xml:space="preserve">The application for summary dismissal under section 75 of the </w:t>
      </w:r>
      <w:r w:rsidRPr="00882E00">
        <w:rPr>
          <w:i/>
          <w:iCs/>
        </w:rPr>
        <w:t>Victorian Civil and Administrative Tribunal Act 1998</w:t>
      </w:r>
      <w:r w:rsidRPr="00882E00">
        <w:t xml:space="preserve"> </w:t>
      </w:r>
      <w:r w:rsidR="00300580" w:rsidRPr="00882E00">
        <w:t xml:space="preserve">(Vic) </w:t>
      </w:r>
      <w:r w:rsidRPr="00882E00">
        <w:t>is refused.</w:t>
      </w:r>
    </w:p>
    <w:p w14:paraId="0460C4CC" w14:textId="0F9C353E" w:rsidR="00862628" w:rsidRPr="00862628" w:rsidRDefault="00862628" w:rsidP="00862628">
      <w:pPr>
        <w:pStyle w:val="Order2"/>
      </w:pPr>
      <w:r w:rsidRPr="006721B6">
        <w:t xml:space="preserve">On or before </w:t>
      </w:r>
      <w:r w:rsidR="006721B6">
        <w:t>24</w:t>
      </w:r>
      <w:r w:rsidRPr="006721B6">
        <w:t xml:space="preserve"> December 2023, the complainant is to provide by email to the Tribunal and </w:t>
      </w:r>
      <w:r w:rsidR="006721B6" w:rsidRPr="006721B6">
        <w:t xml:space="preserve">to </w:t>
      </w:r>
      <w:r w:rsidRPr="006721B6">
        <w:t xml:space="preserve">the respondent a </w:t>
      </w:r>
      <w:r w:rsidR="00B71FC2">
        <w:t xml:space="preserve">document titled Particulars of Claim, </w:t>
      </w:r>
      <w:r w:rsidRPr="006721B6">
        <w:t>setting out the particulars of each claim</w:t>
      </w:r>
      <w:r w:rsidR="00B71FC2">
        <w:t>ed</w:t>
      </w:r>
      <w:r w:rsidR="00210733">
        <w:t xml:space="preserve"> breach of an IPP </w:t>
      </w:r>
      <w:r w:rsidR="00B71FC2">
        <w:t xml:space="preserve">that is </w:t>
      </w:r>
      <w:r w:rsidRPr="006721B6">
        <w:t xml:space="preserve">raised in the privacy complaint referred to </w:t>
      </w:r>
      <w:r w:rsidR="00210733">
        <w:t>Tribunal</w:t>
      </w:r>
      <w:r w:rsidRPr="006721B6">
        <w:t xml:space="preserve"> by the </w:t>
      </w:r>
      <w:r w:rsidR="00A96E34">
        <w:t>I</w:t>
      </w:r>
      <w:r w:rsidRPr="006721B6">
        <w:t xml:space="preserve">nformation </w:t>
      </w:r>
      <w:r w:rsidR="00A96E34">
        <w:t>C</w:t>
      </w:r>
      <w:r w:rsidRPr="006721B6">
        <w:t>ommissioner. The particulars of claim must be in numbered paragraphs and must state:</w:t>
      </w:r>
    </w:p>
    <w:p w14:paraId="0F6A8A13" w14:textId="1510105E" w:rsidR="00862628" w:rsidRPr="00862628" w:rsidRDefault="00862628" w:rsidP="006721B6">
      <w:pPr>
        <w:pStyle w:val="Order2"/>
        <w:numPr>
          <w:ilvl w:val="1"/>
          <w:numId w:val="7"/>
        </w:numPr>
      </w:pPr>
      <w:r w:rsidRPr="00862628">
        <w:t>what the</w:t>
      </w:r>
      <w:r w:rsidR="006721B6" w:rsidRPr="006721B6">
        <w:t xml:space="preserve"> complainant says</w:t>
      </w:r>
      <w:r w:rsidRPr="00862628">
        <w:t xml:space="preserve"> happened; </w:t>
      </w:r>
    </w:p>
    <w:p w14:paraId="053FA4B7" w14:textId="1A13C2E8" w:rsidR="00862628" w:rsidRPr="00862628" w:rsidRDefault="00862628" w:rsidP="00567B06">
      <w:pPr>
        <w:pStyle w:val="Order2"/>
        <w:numPr>
          <w:ilvl w:val="1"/>
          <w:numId w:val="7"/>
        </w:numPr>
      </w:pPr>
      <w:r w:rsidRPr="00862628">
        <w:t>why they say this was a breach of the</w:t>
      </w:r>
      <w:r w:rsidRPr="006721B6">
        <w:t xml:space="preserve"> IPP,</w:t>
      </w:r>
      <w:r w:rsidRPr="00862628">
        <w:t xml:space="preserve"> and </w:t>
      </w:r>
    </w:p>
    <w:p w14:paraId="28C5E9E0" w14:textId="4DECC8AE" w:rsidR="00862628" w:rsidRPr="00862628" w:rsidRDefault="00862628" w:rsidP="006721B6">
      <w:pPr>
        <w:pStyle w:val="Order2"/>
        <w:numPr>
          <w:ilvl w:val="1"/>
          <w:numId w:val="7"/>
        </w:numPr>
      </w:pPr>
      <w:r w:rsidRPr="00862628">
        <w:t>what orders they are seeking</w:t>
      </w:r>
      <w:r w:rsidR="006721B6" w:rsidRPr="006721B6">
        <w:t xml:space="preserve"> and </w:t>
      </w:r>
      <w:r w:rsidRPr="00862628">
        <w:t>what outcome the</w:t>
      </w:r>
      <w:r w:rsidR="00C838DB">
        <w:t>y</w:t>
      </w:r>
      <w:r w:rsidRPr="00862628">
        <w:t xml:space="preserve"> want.</w:t>
      </w:r>
    </w:p>
    <w:p w14:paraId="18580B41" w14:textId="01386FEE" w:rsidR="006721B6" w:rsidRDefault="00862628" w:rsidP="006721B6">
      <w:pPr>
        <w:pStyle w:val="Order2"/>
      </w:pPr>
      <w:r w:rsidRPr="00862628">
        <w:t>On or before</w:t>
      </w:r>
      <w:r w:rsidR="006721B6">
        <w:t xml:space="preserve"> 24 January 2024</w:t>
      </w:r>
      <w:r w:rsidRPr="00862628">
        <w:t xml:space="preserve">, the respondent is to provide by email to the Tribunal and the </w:t>
      </w:r>
      <w:r w:rsidR="006721B6">
        <w:t>complainant</w:t>
      </w:r>
      <w:r w:rsidRPr="00862628">
        <w:t xml:space="preserve"> a </w:t>
      </w:r>
      <w:r w:rsidR="00B71FC2">
        <w:t>document</w:t>
      </w:r>
      <w:r w:rsidRPr="00862628">
        <w:t xml:space="preserve"> </w:t>
      </w:r>
      <w:r w:rsidR="00B71FC2">
        <w:t xml:space="preserve">titled Particulars of Defence, </w:t>
      </w:r>
      <w:r w:rsidRPr="00862628">
        <w:lastRenderedPageBreak/>
        <w:t xml:space="preserve">setting out their </w:t>
      </w:r>
      <w:r w:rsidR="006721B6">
        <w:t xml:space="preserve">particulars of </w:t>
      </w:r>
      <w:r w:rsidRPr="00862628">
        <w:t>defence, responding to each aspect of the applicant’s particulars of clai</w:t>
      </w:r>
      <w:r w:rsidR="006721B6">
        <w:t>m.</w:t>
      </w:r>
    </w:p>
    <w:p w14:paraId="06DF4182" w14:textId="60E699B8" w:rsidR="00457849" w:rsidRDefault="00AA2C8C" w:rsidP="006721B6">
      <w:pPr>
        <w:pStyle w:val="Order2"/>
      </w:pPr>
      <w:r w:rsidRPr="00882E00">
        <w:t xml:space="preserve">The Tribunal will </w:t>
      </w:r>
      <w:r w:rsidR="006721B6">
        <w:t>then</w:t>
      </w:r>
      <w:r w:rsidRPr="00882E00">
        <w:t xml:space="preserve"> </w:t>
      </w:r>
      <w:r w:rsidR="00210733">
        <w:t>list</w:t>
      </w:r>
      <w:r w:rsidRPr="00882E00">
        <w:t xml:space="preserve"> a directions hearing to </w:t>
      </w:r>
      <w:r w:rsidR="00B71FC2">
        <w:t>make orders about</w:t>
      </w:r>
      <w:r w:rsidRPr="00882E00">
        <w:t xml:space="preserve"> how the complaint will proceed</w:t>
      </w:r>
      <w:r w:rsidR="009C0BF4" w:rsidRPr="00882E00">
        <w:t>.</w:t>
      </w:r>
    </w:p>
    <w:p w14:paraId="09C831BD" w14:textId="0AD274C4" w:rsidR="006721B6" w:rsidRPr="00882E00" w:rsidRDefault="006721B6" w:rsidP="006721B6">
      <w:pPr>
        <w:pStyle w:val="Order2"/>
      </w:pPr>
      <w:r>
        <w:t>Parties are at liberty to apply.</w:t>
      </w:r>
    </w:p>
    <w:tbl>
      <w:tblPr>
        <w:tblW w:w="5000" w:type="pct"/>
        <w:tblLook w:val="0000" w:firstRow="0" w:lastRow="0" w:firstColumn="0" w:lastColumn="0" w:noHBand="0" w:noVBand="0"/>
      </w:tblPr>
      <w:tblGrid>
        <w:gridCol w:w="2835"/>
        <w:gridCol w:w="2836"/>
        <w:gridCol w:w="2834"/>
      </w:tblGrid>
      <w:tr w:rsidR="00457849" w14:paraId="6AB16E85" w14:textId="77777777" w:rsidTr="006055E1">
        <w:tc>
          <w:tcPr>
            <w:tcW w:w="1667" w:type="pct"/>
          </w:tcPr>
          <w:p w14:paraId="666D7F4A" w14:textId="77777777" w:rsidR="006721B6" w:rsidRDefault="006721B6" w:rsidP="006721B6">
            <w:pPr>
              <w:pStyle w:val="Order2"/>
              <w:numPr>
                <w:ilvl w:val="0"/>
                <w:numId w:val="0"/>
              </w:numPr>
            </w:pPr>
          </w:p>
          <w:p w14:paraId="24594859" w14:textId="4CFEE447" w:rsidR="00457849" w:rsidRPr="00375AFC" w:rsidRDefault="00457849" w:rsidP="00375AFC">
            <w:pPr>
              <w:pStyle w:val="Order2"/>
              <w:numPr>
                <w:ilvl w:val="0"/>
                <w:numId w:val="0"/>
              </w:numPr>
              <w:rPr>
                <w:b/>
                <w:bCs/>
              </w:rPr>
            </w:pPr>
            <w:r>
              <w:t>C. Thwaites</w:t>
            </w:r>
            <w:r w:rsidR="00375AFC">
              <w:br/>
            </w:r>
            <w:r w:rsidRPr="00375AFC">
              <w:rPr>
                <w:b/>
                <w:bCs/>
              </w:rPr>
              <w:t>Member</w:t>
            </w:r>
          </w:p>
        </w:tc>
        <w:tc>
          <w:tcPr>
            <w:tcW w:w="1667" w:type="pct"/>
          </w:tcPr>
          <w:p w14:paraId="103949B7" w14:textId="77777777" w:rsidR="00457849" w:rsidRDefault="00457849" w:rsidP="006721B6">
            <w:pPr>
              <w:pStyle w:val="Order2"/>
              <w:numPr>
                <w:ilvl w:val="0"/>
                <w:numId w:val="0"/>
              </w:numPr>
            </w:pPr>
          </w:p>
        </w:tc>
        <w:tc>
          <w:tcPr>
            <w:tcW w:w="1666" w:type="pct"/>
          </w:tcPr>
          <w:p w14:paraId="00CD9A9F" w14:textId="77777777" w:rsidR="00457849" w:rsidRDefault="00457849" w:rsidP="006721B6">
            <w:pPr>
              <w:pStyle w:val="Order2"/>
              <w:numPr>
                <w:ilvl w:val="0"/>
                <w:numId w:val="0"/>
              </w:numPr>
            </w:pPr>
          </w:p>
        </w:tc>
      </w:tr>
    </w:tbl>
    <w:p w14:paraId="1710A861" w14:textId="77777777" w:rsidR="00C96F4D" w:rsidRDefault="00C96F4D" w:rsidP="006721B6">
      <w:pPr>
        <w:pStyle w:val="Order2"/>
        <w:numPr>
          <w:ilvl w:val="0"/>
          <w:numId w:val="0"/>
        </w:numPr>
      </w:pPr>
    </w:p>
    <w:tbl>
      <w:tblPr>
        <w:tblW w:w="5000" w:type="pct"/>
        <w:tblLook w:val="0000" w:firstRow="0" w:lastRow="0" w:firstColumn="0" w:lastColumn="0" w:noHBand="0" w:noVBand="0"/>
      </w:tblPr>
      <w:tblGrid>
        <w:gridCol w:w="3441"/>
        <w:gridCol w:w="5064"/>
      </w:tblGrid>
      <w:tr w:rsidR="007613DF" w14:paraId="64A48DE1" w14:textId="77777777" w:rsidTr="006055E1">
        <w:trPr>
          <w:cantSplit/>
        </w:trPr>
        <w:tc>
          <w:tcPr>
            <w:tcW w:w="2023" w:type="pct"/>
          </w:tcPr>
          <w:p w14:paraId="05BA4103" w14:textId="49A3BCA8" w:rsidR="007613DF" w:rsidRDefault="007613DF" w:rsidP="00375AFC">
            <w:pPr>
              <w:pStyle w:val="Heading2"/>
            </w:pPr>
            <w:r w:rsidRPr="000F6851">
              <w:t>APPEARANCES:</w:t>
            </w:r>
          </w:p>
        </w:tc>
        <w:tc>
          <w:tcPr>
            <w:tcW w:w="2977" w:type="pct"/>
          </w:tcPr>
          <w:p w14:paraId="555CD001" w14:textId="77777777" w:rsidR="007613DF" w:rsidRDefault="007613DF" w:rsidP="006721B6">
            <w:pPr>
              <w:pStyle w:val="Order2"/>
              <w:numPr>
                <w:ilvl w:val="0"/>
                <w:numId w:val="0"/>
              </w:numPr>
            </w:pPr>
          </w:p>
        </w:tc>
      </w:tr>
      <w:tr w:rsidR="007613DF" w14:paraId="42AAF655" w14:textId="77777777" w:rsidTr="006055E1">
        <w:trPr>
          <w:cantSplit/>
        </w:trPr>
        <w:tc>
          <w:tcPr>
            <w:tcW w:w="2023" w:type="pct"/>
          </w:tcPr>
          <w:p w14:paraId="17E3D093" w14:textId="4B2D3C44" w:rsidR="007613DF" w:rsidRDefault="007613DF" w:rsidP="00375AFC">
            <w:pPr>
              <w:pStyle w:val="Heading2"/>
            </w:pPr>
            <w:r w:rsidRPr="000F6851">
              <w:t xml:space="preserve">For </w:t>
            </w:r>
            <w:r w:rsidR="00882E00">
              <w:t>complainant</w:t>
            </w:r>
          </w:p>
        </w:tc>
        <w:tc>
          <w:tcPr>
            <w:tcW w:w="2977" w:type="pct"/>
          </w:tcPr>
          <w:p w14:paraId="19C55718" w14:textId="652C1533" w:rsidR="007613DF" w:rsidRDefault="007613DF" w:rsidP="006721B6">
            <w:pPr>
              <w:pStyle w:val="Order2"/>
              <w:numPr>
                <w:ilvl w:val="0"/>
                <w:numId w:val="0"/>
              </w:numPr>
            </w:pPr>
            <w:r w:rsidRPr="000F6851">
              <w:t>In person</w:t>
            </w:r>
          </w:p>
        </w:tc>
      </w:tr>
      <w:tr w:rsidR="007613DF" w14:paraId="2890188A" w14:textId="77777777" w:rsidTr="006055E1">
        <w:trPr>
          <w:cantSplit/>
        </w:trPr>
        <w:tc>
          <w:tcPr>
            <w:tcW w:w="2023" w:type="pct"/>
          </w:tcPr>
          <w:p w14:paraId="33B8E0B7" w14:textId="6956F017" w:rsidR="007613DF" w:rsidRDefault="007613DF" w:rsidP="00375AFC">
            <w:pPr>
              <w:pStyle w:val="Heading2"/>
            </w:pPr>
            <w:r w:rsidRPr="000F6851">
              <w:t xml:space="preserve">For </w:t>
            </w:r>
            <w:r w:rsidR="00882E00">
              <w:t>r</w:t>
            </w:r>
            <w:r w:rsidRPr="000F6851">
              <w:t>espondent</w:t>
            </w:r>
          </w:p>
        </w:tc>
        <w:tc>
          <w:tcPr>
            <w:tcW w:w="2977" w:type="pct"/>
          </w:tcPr>
          <w:p w14:paraId="56918B0B" w14:textId="42AECBBB" w:rsidR="007613DF" w:rsidRDefault="007613DF" w:rsidP="006721B6">
            <w:pPr>
              <w:pStyle w:val="Order2"/>
              <w:numPr>
                <w:ilvl w:val="0"/>
                <w:numId w:val="0"/>
              </w:numPr>
            </w:pPr>
            <w:r w:rsidRPr="000F6851">
              <w:t>N</w:t>
            </w:r>
            <w:r w:rsidR="00882E00">
              <w:t>.</w:t>
            </w:r>
            <w:r w:rsidRPr="000F6851">
              <w:t xml:space="preserve"> Boyd-Caine</w:t>
            </w:r>
            <w:r w:rsidR="00183B0D">
              <w:t>, counsel</w:t>
            </w:r>
            <w:r w:rsidR="00882E00">
              <w:br/>
            </w:r>
            <w:r w:rsidR="00882E00" w:rsidRPr="000F6851">
              <w:t>C</w:t>
            </w:r>
            <w:r w:rsidR="00882E00">
              <w:t>.</w:t>
            </w:r>
            <w:r w:rsidR="00882E00" w:rsidRPr="000F6851">
              <w:t xml:space="preserve"> Pervaiz</w:t>
            </w:r>
            <w:r w:rsidR="00183B0D">
              <w:t>, solicitor</w:t>
            </w:r>
          </w:p>
        </w:tc>
      </w:tr>
    </w:tbl>
    <w:p w14:paraId="5512FB46" w14:textId="59392B21" w:rsidR="00457849" w:rsidRPr="00F8190F" w:rsidRDefault="00457849" w:rsidP="00375AFC">
      <w:pPr>
        <w:pStyle w:val="Heading1"/>
      </w:pPr>
      <w:r>
        <w:br w:type="page"/>
      </w:r>
      <w:r>
        <w:lastRenderedPageBreak/>
        <w:t>Reasons</w:t>
      </w:r>
    </w:p>
    <w:p w14:paraId="383EE064" w14:textId="368D84E2" w:rsidR="007613DF" w:rsidRDefault="007613DF" w:rsidP="007613DF">
      <w:pPr>
        <w:pStyle w:val="Para1"/>
        <w:tabs>
          <w:tab w:val="clear" w:pos="709"/>
          <w:tab w:val="num" w:pos="567"/>
        </w:tabs>
        <w:ind w:left="567"/>
      </w:pPr>
      <w:r>
        <w:t xml:space="preserve">This is an application for summary dismissal of </w:t>
      </w:r>
      <w:r w:rsidR="00165BC7">
        <w:t>a</w:t>
      </w:r>
      <w:r>
        <w:t xml:space="preserve"> privacy complaint </w:t>
      </w:r>
      <w:r w:rsidR="001A2749">
        <w:t xml:space="preserve">the complainant made </w:t>
      </w:r>
      <w:r>
        <w:t>against the respondent</w:t>
      </w:r>
      <w:r w:rsidR="00555C9F">
        <w:t>.</w:t>
      </w:r>
      <w:r w:rsidR="003217F2">
        <w:t xml:space="preserve"> </w:t>
      </w:r>
      <w:r w:rsidR="00555C9F">
        <w:t>T</w:t>
      </w:r>
      <w:r w:rsidR="0036002A">
        <w:t xml:space="preserve">hat </w:t>
      </w:r>
      <w:r w:rsidR="00555C9F">
        <w:t>complaint was</w:t>
      </w:r>
      <w:r w:rsidR="0036002A">
        <w:t xml:space="preserve"> referred </w:t>
      </w:r>
      <w:r w:rsidR="00BE1A4A">
        <w:t xml:space="preserve">to the </w:t>
      </w:r>
      <w:r w:rsidR="00882E00">
        <w:t xml:space="preserve">Victorian Civil and Administrative Tribunal (‘the </w:t>
      </w:r>
      <w:r w:rsidR="00BE1A4A">
        <w:t>Tribunal</w:t>
      </w:r>
      <w:r w:rsidR="00882E00">
        <w:t>’)</w:t>
      </w:r>
      <w:r w:rsidR="00BE1A4A">
        <w:t xml:space="preserve"> by the Information Commissioner</w:t>
      </w:r>
      <w:r w:rsidR="008A4A02">
        <w:t>.</w:t>
      </w:r>
    </w:p>
    <w:p w14:paraId="3BD1460E" w14:textId="6A8D2D10" w:rsidR="00750E1A" w:rsidRDefault="00555C9F" w:rsidP="00A96E34">
      <w:pPr>
        <w:pStyle w:val="Para1"/>
        <w:tabs>
          <w:tab w:val="clear" w:pos="709"/>
          <w:tab w:val="num" w:pos="567"/>
        </w:tabs>
        <w:ind w:left="567"/>
      </w:pPr>
      <w:r>
        <w:t>T</w:t>
      </w:r>
      <w:r w:rsidR="008A4A02">
        <w:t>he</w:t>
      </w:r>
      <w:r w:rsidR="00C706C2">
        <w:t xml:space="preserve"> </w:t>
      </w:r>
      <w:r>
        <w:t>complaint relates to</w:t>
      </w:r>
      <w:r w:rsidR="00BE1A4A">
        <w:t xml:space="preserve"> the </w:t>
      </w:r>
      <w:r w:rsidR="00882E00">
        <w:t xml:space="preserve">complainant’s </w:t>
      </w:r>
      <w:r w:rsidR="008A4A02">
        <w:t xml:space="preserve">application </w:t>
      </w:r>
      <w:r w:rsidR="00BE1A4A">
        <w:t xml:space="preserve">to be part of </w:t>
      </w:r>
      <w:r w:rsidR="008A4A02">
        <w:t>the respondent’s</w:t>
      </w:r>
      <w:r w:rsidR="00BE1A4A">
        <w:t xml:space="preserve"> digital jobs program</w:t>
      </w:r>
      <w:r w:rsidR="008A4A02">
        <w:t xml:space="preserve">. </w:t>
      </w:r>
      <w:r w:rsidR="002810EE">
        <w:t>T</w:t>
      </w:r>
      <w:r w:rsidR="001A2749">
        <w:t xml:space="preserve">he </w:t>
      </w:r>
      <w:r w:rsidR="002810EE">
        <w:t>respondent</w:t>
      </w:r>
      <w:r w:rsidR="0015292B">
        <w:t xml:space="preserve"> had</w:t>
      </w:r>
      <w:r w:rsidR="002810EE">
        <w:t xml:space="preserve"> engaged Hudson Global Resources to assist with the recruitment process. </w:t>
      </w:r>
      <w:r w:rsidR="00165BC7">
        <w:t xml:space="preserve">As part of the process, the </w:t>
      </w:r>
      <w:r w:rsidR="00882E00">
        <w:t xml:space="preserve">complainant </w:t>
      </w:r>
      <w:r w:rsidR="00165BC7">
        <w:t xml:space="preserve">was required to complete an online </w:t>
      </w:r>
      <w:r w:rsidR="00882E00">
        <w:t>text-</w:t>
      </w:r>
      <w:r w:rsidR="00165BC7">
        <w:t>based behavioural interview via PredictiveHire’s artificial intelligence</w:t>
      </w:r>
      <w:r w:rsidR="00882E00">
        <w:t xml:space="preserve"> (‘AI’)</w:t>
      </w:r>
      <w:r w:rsidR="00165BC7">
        <w:t>, Phai, as well as t</w:t>
      </w:r>
      <w:r w:rsidR="0067578B">
        <w:t>w</w:t>
      </w:r>
      <w:r w:rsidR="00165BC7">
        <w:t xml:space="preserve">o psychometric assessments. </w:t>
      </w:r>
    </w:p>
    <w:p w14:paraId="3F67334B" w14:textId="0A802E3D" w:rsidR="001A2749" w:rsidRDefault="00555C9F" w:rsidP="001A2749">
      <w:pPr>
        <w:pStyle w:val="Para1"/>
        <w:tabs>
          <w:tab w:val="clear" w:pos="709"/>
          <w:tab w:val="num" w:pos="567"/>
        </w:tabs>
        <w:ind w:left="567"/>
      </w:pPr>
      <w:r>
        <w:t>While the</w:t>
      </w:r>
      <w:r w:rsidR="002810EE">
        <w:t xml:space="preserve"> </w:t>
      </w:r>
      <w:r w:rsidR="00882E00">
        <w:t xml:space="preserve">complainant </w:t>
      </w:r>
      <w:r w:rsidR="002810EE">
        <w:t>was successful in her application to be part of the program</w:t>
      </w:r>
      <w:r>
        <w:t xml:space="preserve">, </w:t>
      </w:r>
      <w:r w:rsidR="001A2749">
        <w:t xml:space="preserve">the complainant alleges that during and after the recruitment process, the respondent breached a number of information privacy principles (IPPs) </w:t>
      </w:r>
      <w:r w:rsidR="00A96E34">
        <w:t xml:space="preserve">which are set out </w:t>
      </w:r>
      <w:r w:rsidR="001A2749">
        <w:t xml:space="preserve">in the </w:t>
      </w:r>
      <w:r w:rsidR="001A2749" w:rsidRPr="001A2749">
        <w:rPr>
          <w:i/>
          <w:iCs/>
        </w:rPr>
        <w:t>Privacy and Data Protection Act</w:t>
      </w:r>
      <w:r w:rsidR="001A2749">
        <w:t xml:space="preserve"> 2014. </w:t>
      </w:r>
    </w:p>
    <w:p w14:paraId="07BCBCD8" w14:textId="1886C685" w:rsidR="00555C9F" w:rsidRDefault="0067578B" w:rsidP="0081475E">
      <w:pPr>
        <w:pStyle w:val="Para1"/>
        <w:tabs>
          <w:tab w:val="clear" w:pos="709"/>
          <w:tab w:val="num" w:pos="567"/>
        </w:tabs>
        <w:ind w:left="567"/>
      </w:pPr>
      <w:r>
        <w:t xml:space="preserve">The parties did not settle their dispute though mediation </w:t>
      </w:r>
      <w:r w:rsidR="00C706C2">
        <w:t>at</w:t>
      </w:r>
      <w:r>
        <w:t xml:space="preserve"> </w:t>
      </w:r>
      <w:r w:rsidR="009E05AF">
        <w:t>the Tribunal</w:t>
      </w:r>
      <w:r w:rsidR="00C0654D">
        <w:t>,</w:t>
      </w:r>
      <w:r>
        <w:t xml:space="preserve"> and the respondent filed an application for summary dismissal.</w:t>
      </w:r>
      <w:r w:rsidR="00882E00">
        <w:t xml:space="preserve"> </w:t>
      </w:r>
    </w:p>
    <w:p w14:paraId="02A04CBC" w14:textId="6287401D" w:rsidR="00E90C04" w:rsidRDefault="00E90C04" w:rsidP="0081475E">
      <w:pPr>
        <w:pStyle w:val="Para1"/>
        <w:tabs>
          <w:tab w:val="clear" w:pos="709"/>
          <w:tab w:val="num" w:pos="567"/>
        </w:tabs>
        <w:ind w:left="567"/>
      </w:pPr>
      <w:r>
        <w:t xml:space="preserve">The respondent submitted that the complaint should be summarily dismissed in whole or in part because it </w:t>
      </w:r>
      <w:r w:rsidR="0036002A">
        <w:t>wa</w:t>
      </w:r>
      <w:r>
        <w:t xml:space="preserve">s </w:t>
      </w:r>
      <w:r w:rsidR="0036002A">
        <w:t xml:space="preserve">frivolous, </w:t>
      </w:r>
      <w:r>
        <w:t>vexatious, misconceived, lacking in substance</w:t>
      </w:r>
      <w:r w:rsidR="0036002A">
        <w:t xml:space="preserve"> or an abuse of process</w:t>
      </w:r>
      <w:r>
        <w:t xml:space="preserve">. </w:t>
      </w:r>
    </w:p>
    <w:p w14:paraId="5D3C6319" w14:textId="5A8A0255" w:rsidR="00165BC7" w:rsidRDefault="0081475E" w:rsidP="0081475E">
      <w:pPr>
        <w:pStyle w:val="Para1"/>
        <w:tabs>
          <w:tab w:val="clear" w:pos="709"/>
          <w:tab w:val="num" w:pos="567"/>
        </w:tabs>
        <w:ind w:left="567"/>
      </w:pPr>
      <w:r>
        <w:t>A</w:t>
      </w:r>
      <w:r w:rsidR="00C0662A">
        <w:t xml:space="preserve"> </w:t>
      </w:r>
      <w:r w:rsidR="0067578B">
        <w:t xml:space="preserve">hearing of the application for summary dismissal was held on 16 August 2023. I was the presiding member. </w:t>
      </w:r>
      <w:r w:rsidR="00E90C04">
        <w:t xml:space="preserve">During the hearing I heard oral submissions from the </w:t>
      </w:r>
      <w:r w:rsidR="00882E00">
        <w:t xml:space="preserve">complainant </w:t>
      </w:r>
      <w:r w:rsidR="00E90C04">
        <w:t>and respondent.</w:t>
      </w:r>
      <w:r>
        <w:t xml:space="preserve"> </w:t>
      </w:r>
      <w:r w:rsidR="0067578B">
        <w:t xml:space="preserve">At the conclusion of the hearing, I set down dates for which the </w:t>
      </w:r>
      <w:r w:rsidR="00882E00">
        <w:t xml:space="preserve">complainant </w:t>
      </w:r>
      <w:r w:rsidR="0067578B">
        <w:t>and respondent could file any further written submissions.</w:t>
      </w:r>
      <w:r w:rsidR="00E90C04">
        <w:t xml:space="preserve"> I have now received and considered those submissions.</w:t>
      </w:r>
    </w:p>
    <w:p w14:paraId="77908E72" w14:textId="6A9B5377" w:rsidR="001A37B3" w:rsidRDefault="000F1C8E" w:rsidP="001A37B3">
      <w:pPr>
        <w:pStyle w:val="Heading2"/>
      </w:pPr>
      <w:r>
        <w:t>Assess</w:t>
      </w:r>
      <w:r w:rsidR="001A37B3" w:rsidRPr="00BF7A5C">
        <w:t xml:space="preserve">ment </w:t>
      </w:r>
      <w:r w:rsidR="001A37B3">
        <w:t>under</w:t>
      </w:r>
      <w:r w:rsidR="001A37B3" w:rsidRPr="00BF7A5C">
        <w:t xml:space="preserve"> section 75</w:t>
      </w:r>
    </w:p>
    <w:p w14:paraId="6B74BCC8" w14:textId="77777777" w:rsidR="00A928F5" w:rsidRDefault="00A928F5" w:rsidP="00A928F5">
      <w:pPr>
        <w:pStyle w:val="Para1"/>
        <w:tabs>
          <w:tab w:val="clear" w:pos="709"/>
          <w:tab w:val="num" w:pos="567"/>
        </w:tabs>
        <w:ind w:left="567"/>
      </w:pPr>
      <w:r w:rsidRPr="00A845E9">
        <w:t>Section 75</w:t>
      </w:r>
      <w:r>
        <w:t xml:space="preserve">(1) of the </w:t>
      </w:r>
      <w:r w:rsidRPr="00525394">
        <w:rPr>
          <w:i/>
          <w:iCs/>
        </w:rPr>
        <w:t>Victorian Civil and Administrative Tribunal Act</w:t>
      </w:r>
      <w:r>
        <w:t xml:space="preserve"> </w:t>
      </w:r>
      <w:r w:rsidRPr="00764092">
        <w:rPr>
          <w:i/>
          <w:iCs/>
        </w:rPr>
        <w:t>1998</w:t>
      </w:r>
      <w:r>
        <w:t xml:space="preserve"> (Vic) (‘VCAT Act’) states that at any time</w:t>
      </w:r>
      <w:r w:rsidRPr="00A845E9">
        <w:t>, the Tribunal may make an order summarily dismissing or striking out all, or any part, of a proceeding that, in its opinion</w:t>
      </w:r>
      <w:r>
        <w:t xml:space="preserve"> –</w:t>
      </w:r>
    </w:p>
    <w:p w14:paraId="787B26A9" w14:textId="77777777" w:rsidR="00A928F5" w:rsidRDefault="00A928F5" w:rsidP="00A928F5">
      <w:pPr>
        <w:pStyle w:val="Para1"/>
        <w:numPr>
          <w:ilvl w:val="1"/>
          <w:numId w:val="9"/>
        </w:numPr>
        <w:tabs>
          <w:tab w:val="clear" w:pos="1440"/>
        </w:tabs>
        <w:ind w:left="1134" w:hanging="567"/>
      </w:pPr>
      <w:r w:rsidRPr="00A845E9">
        <w:t>is frivolous, vexatious, misconceived or lacking in substance</w:t>
      </w:r>
      <w:r>
        <w:t>; or</w:t>
      </w:r>
    </w:p>
    <w:p w14:paraId="278711B7" w14:textId="77777777" w:rsidR="00A928F5" w:rsidRDefault="00A928F5" w:rsidP="00A928F5">
      <w:pPr>
        <w:pStyle w:val="Para1"/>
        <w:numPr>
          <w:ilvl w:val="1"/>
          <w:numId w:val="9"/>
        </w:numPr>
        <w:tabs>
          <w:tab w:val="clear" w:pos="1440"/>
        </w:tabs>
        <w:ind w:left="1134" w:hanging="567"/>
      </w:pPr>
      <w:r>
        <w:t>is otherwise an abuse of process.</w:t>
      </w:r>
    </w:p>
    <w:p w14:paraId="6662B653" w14:textId="00AD7AA3" w:rsidR="00E90C04" w:rsidRDefault="00E90C04" w:rsidP="00E90C04">
      <w:pPr>
        <w:pStyle w:val="Para1"/>
        <w:tabs>
          <w:tab w:val="clear" w:pos="709"/>
          <w:tab w:val="num" w:pos="567"/>
        </w:tabs>
        <w:ind w:left="567"/>
      </w:pPr>
      <w:r>
        <w:t xml:space="preserve">The principles that guide the Tribunal when considering an application for summary dismissal are well established. The Tribunal should exercise caution before summarily dismissing a proceeding because such action will have the effect of depriving a litigant of the opportunity to have their case decided in the ordinary course. This is of particular importance where the complainant is self-represented. </w:t>
      </w:r>
    </w:p>
    <w:p w14:paraId="2589755E" w14:textId="02A0430E" w:rsidR="00C0654D" w:rsidRDefault="00E90C04" w:rsidP="004C31CB">
      <w:pPr>
        <w:pStyle w:val="Para1"/>
        <w:tabs>
          <w:tab w:val="clear" w:pos="709"/>
          <w:tab w:val="num" w:pos="567"/>
        </w:tabs>
        <w:ind w:left="567"/>
      </w:pPr>
      <w:r>
        <w:lastRenderedPageBreak/>
        <w:t xml:space="preserve">The Tribunal should only make an order summarily dismissing a proceeding when satisfied </w:t>
      </w:r>
      <w:r w:rsidR="006C39E9">
        <w:t xml:space="preserve">to a high degree of satisfaction, that the proceeding is obviously unsustainable in fact or on law, can on no reasonable view justify relief or must be bound to fail. The power to order summary dismissal should be exercised with great care and should never be </w:t>
      </w:r>
      <w:r w:rsidR="00882E00">
        <w:t xml:space="preserve">exercised </w:t>
      </w:r>
      <w:r w:rsidR="006C39E9">
        <w:t xml:space="preserve">unless it is clear that there is no real question to be tried. It must be very clear that the proceeding is absolutely hopeless. </w:t>
      </w:r>
    </w:p>
    <w:p w14:paraId="46757AA3" w14:textId="56FC60FA" w:rsidR="00E90C04" w:rsidRPr="004E5027" w:rsidRDefault="00C0654D" w:rsidP="004C31CB">
      <w:pPr>
        <w:pStyle w:val="Para1"/>
        <w:tabs>
          <w:tab w:val="clear" w:pos="709"/>
          <w:tab w:val="num" w:pos="567"/>
        </w:tabs>
        <w:ind w:left="567"/>
      </w:pPr>
      <w:r>
        <w:t>The respondent bears the persuasive burden of showing the complaint is undoubtedly hopeles</w:t>
      </w:r>
      <w:r w:rsidRPr="004E5027">
        <w:t>s</w:t>
      </w:r>
      <w:r>
        <w:t>.</w:t>
      </w:r>
      <w:r w:rsidRPr="004D2271">
        <w:rPr>
          <w:vertAlign w:val="superscript"/>
        </w:rPr>
        <w:footnoteReference w:id="1"/>
      </w:r>
      <w:r w:rsidR="006C39E9">
        <w:t>The power to summarily dismiss a proceeding should not be invoked where on the material c</w:t>
      </w:r>
      <w:r w:rsidR="004E5027">
        <w:t>urrently</w:t>
      </w:r>
      <w:r w:rsidR="006C39E9">
        <w:t xml:space="preserve"> before the Tribunal, the </w:t>
      </w:r>
      <w:r w:rsidR="00882E00">
        <w:t xml:space="preserve">complainant </w:t>
      </w:r>
      <w:r w:rsidR="006C39E9">
        <w:t xml:space="preserve">may fail to adduce evidence </w:t>
      </w:r>
      <w:r w:rsidR="004E5027">
        <w:t>substantiating</w:t>
      </w:r>
      <w:r w:rsidR="006C39E9">
        <w:t xml:space="preserve"> an essential element of the complaint. The proceeding should not be </w:t>
      </w:r>
      <w:r w:rsidR="004E5027">
        <w:t>dismissed</w:t>
      </w:r>
      <w:r w:rsidR="006C39E9">
        <w:t xml:space="preserve"> if the ultimate fate of the proceeding depends upon disputed questions of fact</w:t>
      </w:r>
      <w:r w:rsidR="00CB2658">
        <w:t xml:space="preserve">. </w:t>
      </w:r>
    </w:p>
    <w:p w14:paraId="7C31FBEC" w14:textId="34EFA293" w:rsidR="00F57E44" w:rsidRDefault="00E90C04" w:rsidP="00777F01">
      <w:pPr>
        <w:pStyle w:val="Para1"/>
        <w:tabs>
          <w:tab w:val="clear" w:pos="709"/>
          <w:tab w:val="num" w:pos="567"/>
        </w:tabs>
        <w:ind w:left="567"/>
      </w:pPr>
      <w:r>
        <w:t xml:space="preserve">If the Tribunal is not satisfied the proceedings should be summarily dismissed or struck out, the matter should go to a hearing so the </w:t>
      </w:r>
      <w:r w:rsidR="00882E00">
        <w:t xml:space="preserve">complainant </w:t>
      </w:r>
      <w:r>
        <w:t xml:space="preserve">has the chance to have the complaint heard and the evidence tested in the usual way. </w:t>
      </w:r>
    </w:p>
    <w:p w14:paraId="06C1531A" w14:textId="713853E3" w:rsidR="001A37B3" w:rsidRPr="001A37B3" w:rsidRDefault="001A37B3" w:rsidP="00461CC1">
      <w:pPr>
        <w:pStyle w:val="Heading3"/>
      </w:pPr>
      <w:r w:rsidRPr="001A37B3">
        <w:t>Is the complaint vexatious</w:t>
      </w:r>
      <w:r w:rsidR="00660E38">
        <w:t xml:space="preserve"> </w:t>
      </w:r>
      <w:r w:rsidR="00E251E8">
        <w:t>and/</w:t>
      </w:r>
      <w:r w:rsidR="00660E38">
        <w:t xml:space="preserve">or </w:t>
      </w:r>
      <w:r w:rsidR="00882E00">
        <w:t xml:space="preserve">an </w:t>
      </w:r>
      <w:r w:rsidR="00660E38">
        <w:t>abuse of process</w:t>
      </w:r>
      <w:r w:rsidRPr="001A37B3">
        <w:t>?</w:t>
      </w:r>
    </w:p>
    <w:p w14:paraId="75760D63" w14:textId="17CF7D3C" w:rsidR="001A37B3" w:rsidRPr="00AB731E" w:rsidRDefault="00777F01" w:rsidP="001A37B3">
      <w:pPr>
        <w:pStyle w:val="Para1"/>
        <w:tabs>
          <w:tab w:val="clear" w:pos="709"/>
          <w:tab w:val="num" w:pos="567"/>
        </w:tabs>
        <w:ind w:left="567"/>
      </w:pPr>
      <w:r>
        <w:t xml:space="preserve">One of the grounds </w:t>
      </w:r>
      <w:r w:rsidR="00ED51DB">
        <w:t xml:space="preserve">raised by the respondent </w:t>
      </w:r>
      <w:r>
        <w:t xml:space="preserve">for summary dismissal </w:t>
      </w:r>
      <w:r w:rsidR="00C0654D">
        <w:t>wa</w:t>
      </w:r>
      <w:r>
        <w:t xml:space="preserve">s that there was a collateral purpose for the </w:t>
      </w:r>
      <w:r w:rsidR="00882E00">
        <w:t xml:space="preserve">complainant’s </w:t>
      </w:r>
      <w:r>
        <w:t xml:space="preserve">complaint, and </w:t>
      </w:r>
      <w:r w:rsidRPr="00AB731E">
        <w:t>therefore it was vexatious and</w:t>
      </w:r>
      <w:r w:rsidR="00E251E8">
        <w:t>/or an abuse of process and</w:t>
      </w:r>
      <w:r w:rsidRPr="00AB731E">
        <w:t xml:space="preserve"> should be dismissed.</w:t>
      </w:r>
    </w:p>
    <w:p w14:paraId="6217FACC" w14:textId="5ACF2DD6" w:rsidR="00777F01" w:rsidRPr="00AB731E" w:rsidRDefault="00C0654D" w:rsidP="001A37B3">
      <w:pPr>
        <w:pStyle w:val="Para1"/>
        <w:tabs>
          <w:tab w:val="clear" w:pos="709"/>
          <w:tab w:val="num" w:pos="567"/>
        </w:tabs>
        <w:ind w:left="567"/>
      </w:pPr>
      <w:r>
        <w:t xml:space="preserve">The respondent submitted that in </w:t>
      </w:r>
      <w:r w:rsidR="00ED51DB">
        <w:t>corresponden</w:t>
      </w:r>
      <w:r w:rsidR="00C706C2">
        <w:t>ce</w:t>
      </w:r>
      <w:r>
        <w:t xml:space="preserve"> to the respondent</w:t>
      </w:r>
      <w:r w:rsidR="00C706C2">
        <w:t>,</w:t>
      </w:r>
      <w:r w:rsidR="00ED51DB">
        <w:t xml:space="preserve"> the </w:t>
      </w:r>
      <w:r w:rsidR="00882E00">
        <w:t>complainant</w:t>
      </w:r>
      <w:r w:rsidR="00882E00" w:rsidRPr="00AB731E">
        <w:t xml:space="preserve"> </w:t>
      </w:r>
      <w:r w:rsidR="00777F01" w:rsidRPr="00AB731E">
        <w:t xml:space="preserve">had indicated </w:t>
      </w:r>
      <w:r w:rsidR="001A37B3" w:rsidRPr="00AB731E">
        <w:t xml:space="preserve">that </w:t>
      </w:r>
      <w:r w:rsidR="00777F01" w:rsidRPr="00AB731E">
        <w:t>this matter was part of her academic research and that all information (outside the privacy compliant conciliation process) w</w:t>
      </w:r>
      <w:r w:rsidR="00AB731E" w:rsidRPr="00AB731E">
        <w:t>ould</w:t>
      </w:r>
      <w:r w:rsidR="00777F01" w:rsidRPr="00AB731E">
        <w:t xml:space="preserve"> be used in the research and </w:t>
      </w:r>
      <w:r w:rsidR="00AB731E" w:rsidRPr="00AB731E">
        <w:t xml:space="preserve">it was </w:t>
      </w:r>
      <w:r w:rsidR="00777F01" w:rsidRPr="00AB731E">
        <w:t xml:space="preserve">highly likely </w:t>
      </w:r>
      <w:r w:rsidR="00AB731E" w:rsidRPr="00AB731E">
        <w:t>it would be</w:t>
      </w:r>
      <w:r w:rsidR="00777F01" w:rsidRPr="00AB731E">
        <w:t xml:space="preserve"> published in the </w:t>
      </w:r>
      <w:r w:rsidR="00085337" w:rsidRPr="00AB731E">
        <w:t>public</w:t>
      </w:r>
      <w:r w:rsidR="00777F01" w:rsidRPr="00AB731E">
        <w:t xml:space="preserve"> domain. The </w:t>
      </w:r>
      <w:r w:rsidR="00882E00">
        <w:t>complainant</w:t>
      </w:r>
      <w:r w:rsidR="00882E00" w:rsidRPr="00AB731E">
        <w:t xml:space="preserve"> </w:t>
      </w:r>
      <w:r w:rsidR="00777F01" w:rsidRPr="00AB731E">
        <w:t xml:space="preserve">had </w:t>
      </w:r>
      <w:r w:rsidR="00AB731E" w:rsidRPr="00AB731E">
        <w:t xml:space="preserve">also </w:t>
      </w:r>
      <w:r w:rsidR="00777F01" w:rsidRPr="00AB731E">
        <w:t xml:space="preserve">stated it will be important for her research to understand how the respondent enforces and actions contract clauses and whether having </w:t>
      </w:r>
      <w:r w:rsidR="00ED51DB">
        <w:t>a</w:t>
      </w:r>
      <w:r w:rsidR="00777F01" w:rsidRPr="00AB731E">
        <w:t xml:space="preserve"> clause </w:t>
      </w:r>
      <w:r w:rsidR="00AB731E" w:rsidRPr="00AB731E">
        <w:t>wa</w:t>
      </w:r>
      <w:r w:rsidR="00777F01" w:rsidRPr="00AB731E">
        <w:t>s sufficient to make sure the service the government pro</w:t>
      </w:r>
      <w:r w:rsidR="00AB731E" w:rsidRPr="00AB731E">
        <w:t>vides</w:t>
      </w:r>
      <w:r w:rsidR="00777F01" w:rsidRPr="00AB731E">
        <w:t xml:space="preserve"> meets all necessary standards.</w:t>
      </w:r>
    </w:p>
    <w:p w14:paraId="55B6506C" w14:textId="18E7E2F1" w:rsidR="00AB731E" w:rsidRPr="00AB731E" w:rsidRDefault="00777F01" w:rsidP="00AB731E">
      <w:pPr>
        <w:pStyle w:val="Para1"/>
        <w:tabs>
          <w:tab w:val="clear" w:pos="709"/>
          <w:tab w:val="num" w:pos="567"/>
        </w:tabs>
        <w:ind w:left="567"/>
      </w:pPr>
      <w:r w:rsidRPr="00AB731E">
        <w:t xml:space="preserve">The respondent submitted that the </w:t>
      </w:r>
      <w:r w:rsidR="00882E00">
        <w:t>complainant</w:t>
      </w:r>
      <w:r w:rsidR="00882E00" w:rsidRPr="00AB731E">
        <w:t xml:space="preserve"> </w:t>
      </w:r>
      <w:r w:rsidRPr="00AB731E">
        <w:t>had clearly identified a motive outside the resolution of the dispute</w:t>
      </w:r>
      <w:r w:rsidR="00AB731E" w:rsidRPr="00AB731E">
        <w:t>.</w:t>
      </w:r>
      <w:r w:rsidRPr="00AB731E">
        <w:t xml:space="preserve"> </w:t>
      </w:r>
      <w:r w:rsidR="00AB731E" w:rsidRPr="00AB731E">
        <w:t xml:space="preserve">The complaint had been made in circumstances where the </w:t>
      </w:r>
      <w:r w:rsidR="00882E00">
        <w:t>complainant</w:t>
      </w:r>
      <w:r w:rsidR="00882E00" w:rsidRPr="00AB731E">
        <w:t xml:space="preserve"> </w:t>
      </w:r>
      <w:r w:rsidR="00AB731E" w:rsidRPr="00AB731E">
        <w:t xml:space="preserve">had been successful in her application to be part of the respondent’s digital jobs program, and no harm had occurred or wrong alleged on the basis that the </w:t>
      </w:r>
      <w:r w:rsidR="00882E00">
        <w:t>complainant</w:t>
      </w:r>
      <w:r w:rsidR="00882E00" w:rsidRPr="00AB731E">
        <w:t xml:space="preserve"> </w:t>
      </w:r>
      <w:r w:rsidR="00AB731E" w:rsidRPr="00AB731E">
        <w:t xml:space="preserve">was denied entry to the program due to personal information. </w:t>
      </w:r>
    </w:p>
    <w:p w14:paraId="4875313F" w14:textId="12F9FD50" w:rsidR="00C706C2" w:rsidRDefault="00AB731E" w:rsidP="00AB731E">
      <w:pPr>
        <w:pStyle w:val="Para1"/>
        <w:tabs>
          <w:tab w:val="clear" w:pos="709"/>
          <w:tab w:val="num" w:pos="567"/>
        </w:tabs>
        <w:ind w:left="567"/>
      </w:pPr>
      <w:r w:rsidRPr="00AB731E">
        <w:t xml:space="preserve">The respondent submitted </w:t>
      </w:r>
      <w:r w:rsidR="00C0654D">
        <w:t xml:space="preserve">that </w:t>
      </w:r>
      <w:r w:rsidRPr="00AB731E">
        <w:t xml:space="preserve">the </w:t>
      </w:r>
      <w:r w:rsidR="00882E00">
        <w:t>complainant</w:t>
      </w:r>
      <w:r w:rsidR="00882E00" w:rsidRPr="00AB731E">
        <w:t xml:space="preserve"> </w:t>
      </w:r>
      <w:r w:rsidRPr="00AB731E">
        <w:t xml:space="preserve">was seeking to use the Tribunal to require the respondent to answer </w:t>
      </w:r>
      <w:r w:rsidR="00C706C2">
        <w:t>un</w:t>
      </w:r>
      <w:r w:rsidRPr="00AB731E">
        <w:t>substantiated assertions and then use those answers in her</w:t>
      </w:r>
      <w:r>
        <w:t xml:space="preserve"> academic research. </w:t>
      </w:r>
    </w:p>
    <w:p w14:paraId="5B887FBE" w14:textId="34C4F2B8" w:rsidR="003A6FED" w:rsidRDefault="00C706C2" w:rsidP="00AB731E">
      <w:pPr>
        <w:pStyle w:val="Para1"/>
        <w:tabs>
          <w:tab w:val="clear" w:pos="709"/>
          <w:tab w:val="num" w:pos="567"/>
        </w:tabs>
        <w:ind w:left="567"/>
      </w:pPr>
      <w:r>
        <w:lastRenderedPageBreak/>
        <w:t xml:space="preserve">The respondent submitted </w:t>
      </w:r>
      <w:r w:rsidR="00C0654D">
        <w:t xml:space="preserve">that </w:t>
      </w:r>
      <w:r>
        <w:t>this</w:t>
      </w:r>
      <w:r w:rsidR="00777F01">
        <w:t xml:space="preserve"> collateral purpose </w:t>
      </w:r>
      <w:r w:rsidR="00AB731E">
        <w:t>wa</w:t>
      </w:r>
      <w:r w:rsidR="00777F01">
        <w:t xml:space="preserve">s sufficient for the Tribunal to deem the proceeding vexatious litigation and summarily dismiss the </w:t>
      </w:r>
      <w:r>
        <w:t>complaint</w:t>
      </w:r>
      <w:r w:rsidR="00777F01">
        <w:t>.</w:t>
      </w:r>
      <w:r>
        <w:t xml:space="preserve"> The respondent referred to the decision in </w:t>
      </w:r>
      <w:r w:rsidRPr="003A6FED">
        <w:rPr>
          <w:i/>
          <w:iCs/>
        </w:rPr>
        <w:t>Falconbridge Pty Ltd v Yarra City Council</w:t>
      </w:r>
      <w:r w:rsidR="003A6FED">
        <w:t xml:space="preserve"> [2005] VCAT 2449 [11]</w:t>
      </w:r>
      <w:r w:rsidR="0006501C">
        <w:t xml:space="preserve"> (‘Falconbridge’)</w:t>
      </w:r>
      <w:r w:rsidR="003A6FED">
        <w:t>.</w:t>
      </w:r>
    </w:p>
    <w:p w14:paraId="09AD9112" w14:textId="3769F464" w:rsidR="006020AD" w:rsidRDefault="00762B05" w:rsidP="00AB731E">
      <w:pPr>
        <w:pStyle w:val="Para1"/>
        <w:tabs>
          <w:tab w:val="clear" w:pos="709"/>
          <w:tab w:val="num" w:pos="567"/>
        </w:tabs>
        <w:ind w:left="567"/>
      </w:pPr>
      <w:r>
        <w:t>In response</w:t>
      </w:r>
      <w:r w:rsidR="00A96E34">
        <w:t>,</w:t>
      </w:r>
      <w:r>
        <w:t xml:space="preserve"> the </w:t>
      </w:r>
      <w:r w:rsidR="00882E00">
        <w:t xml:space="preserve">complainant </w:t>
      </w:r>
      <w:r w:rsidR="0051049E">
        <w:t xml:space="preserve">submitted that while she </w:t>
      </w:r>
      <w:r w:rsidR="006020AD">
        <w:t>i</w:t>
      </w:r>
      <w:r w:rsidR="0051049E">
        <w:t xml:space="preserve">s an academic and had undertaken research </w:t>
      </w:r>
      <w:r w:rsidR="004425C4">
        <w:t>into AI, that was in July 2021. H</w:t>
      </w:r>
      <w:r w:rsidR="006020AD">
        <w:t>er research i</w:t>
      </w:r>
      <w:r w:rsidR="004425C4">
        <w:t>n</w:t>
      </w:r>
      <w:r w:rsidR="006020AD">
        <w:t>to AI algorithm</w:t>
      </w:r>
      <w:r w:rsidR="004425C4">
        <w:t>s</w:t>
      </w:r>
      <w:r w:rsidR="006020AD">
        <w:t xml:space="preserve"> used in digital jobs in not a topic of interest any longer </w:t>
      </w:r>
      <w:r w:rsidR="00A96E34">
        <w:t>because</w:t>
      </w:r>
      <w:r w:rsidR="006020AD">
        <w:t xml:space="preserve"> large language models have evolved significantly since 2021</w:t>
      </w:r>
      <w:r w:rsidR="00786C65">
        <w:t>.</w:t>
      </w:r>
      <w:r w:rsidR="006020AD">
        <w:t xml:space="preserve"> </w:t>
      </w:r>
      <w:r w:rsidR="00A96E34">
        <w:t>The u</w:t>
      </w:r>
      <w:r w:rsidR="006020AD">
        <w:t>nderstanding of AI has grown in the community</w:t>
      </w:r>
      <w:r w:rsidR="00A96E34">
        <w:t>,</w:t>
      </w:r>
      <w:r w:rsidR="006020AD">
        <w:t xml:space="preserve"> and there are hundreds of research papers published every week about it. While she does intend to do more research and write a book</w:t>
      </w:r>
      <w:r w:rsidR="00A96E34">
        <w:t>,</w:t>
      </w:r>
      <w:r w:rsidR="006020AD">
        <w:t xml:space="preserve"> the subject matter of her research is unclear at the moment.</w:t>
      </w:r>
      <w:r w:rsidR="006020AD" w:rsidRPr="006020AD">
        <w:t xml:space="preserve"> </w:t>
      </w:r>
      <w:r w:rsidR="006020AD">
        <w:t xml:space="preserve">The respondent also noted </w:t>
      </w:r>
      <w:r w:rsidR="006020AD" w:rsidRPr="006020AD">
        <w:rPr>
          <w:i/>
          <w:iCs/>
        </w:rPr>
        <w:t>Privacy Commissioner v Telstra Corporation Ltd</w:t>
      </w:r>
      <w:r w:rsidR="006020AD">
        <w:t xml:space="preserve"> (2017) where the </w:t>
      </w:r>
      <w:r w:rsidR="00183B0D">
        <w:t>complainant w</w:t>
      </w:r>
      <w:r w:rsidR="006020AD">
        <w:t xml:space="preserve">as a </w:t>
      </w:r>
      <w:r w:rsidR="00245ADE">
        <w:t>journalist,</w:t>
      </w:r>
      <w:r w:rsidR="006020AD">
        <w:t xml:space="preserve"> and the complaint was part of the journalist’s investigation.</w:t>
      </w:r>
    </w:p>
    <w:p w14:paraId="52A834F7" w14:textId="4CA17B69" w:rsidR="006020AD" w:rsidRDefault="006020AD" w:rsidP="006020AD">
      <w:pPr>
        <w:pStyle w:val="Para1"/>
        <w:tabs>
          <w:tab w:val="clear" w:pos="709"/>
          <w:tab w:val="num" w:pos="567"/>
        </w:tabs>
        <w:ind w:left="567"/>
      </w:pPr>
      <w:r>
        <w:t xml:space="preserve">The </w:t>
      </w:r>
      <w:r w:rsidR="0006501C">
        <w:t xml:space="preserve">complainant </w:t>
      </w:r>
      <w:r>
        <w:t>submitted s</w:t>
      </w:r>
      <w:r w:rsidR="004425C4">
        <w:t>he has</w:t>
      </w:r>
      <w:r>
        <w:t xml:space="preserve"> a deep knowledge of privacy issues and is very much concerned about organisations protecting </w:t>
      </w:r>
      <w:r w:rsidR="0006501C">
        <w:t>the privacy of individuals</w:t>
      </w:r>
      <w:r>
        <w:t xml:space="preserve">. </w:t>
      </w:r>
      <w:r w:rsidR="00245ADE">
        <w:t>She</w:t>
      </w:r>
      <w:r w:rsidR="004425C4">
        <w:t xml:space="preserve"> </w:t>
      </w:r>
      <w:r w:rsidR="00245ADE">
        <w:t>also submitted that her intention</w:t>
      </w:r>
      <w:r w:rsidR="00C0654D">
        <w:t xml:space="preserve"> was</w:t>
      </w:r>
      <w:r w:rsidR="00245ADE">
        <w:t xml:space="preserve"> to seek the Tribunal’s decisions on the concerns she had raised, improve government agencies</w:t>
      </w:r>
      <w:r w:rsidR="0006501C">
        <w:t>’</w:t>
      </w:r>
      <w:r w:rsidR="00245ADE">
        <w:t xml:space="preserve"> understanding of the importance of using privacy by design principles when designing programs, and </w:t>
      </w:r>
      <w:r w:rsidR="004425C4">
        <w:t>s</w:t>
      </w:r>
      <w:r w:rsidR="00245ADE" w:rsidRPr="00245ADE">
        <w:t xml:space="preserve">how </w:t>
      </w:r>
      <w:r w:rsidR="0006501C">
        <w:t>government agencies</w:t>
      </w:r>
      <w:r w:rsidR="00245ADE" w:rsidRPr="00245ADE">
        <w:t xml:space="preserve"> the importance of having a </w:t>
      </w:r>
      <w:r w:rsidR="0006501C" w:rsidRPr="00245ADE">
        <w:t>well</w:t>
      </w:r>
      <w:r w:rsidR="0006501C">
        <w:t>-</w:t>
      </w:r>
      <w:r w:rsidR="00245ADE" w:rsidRPr="00245ADE">
        <w:t>working process of responding to feedback and addressing the public's concerns diligently, and a</w:t>
      </w:r>
      <w:r w:rsidR="00085337">
        <w:t>t</w:t>
      </w:r>
      <w:r w:rsidR="00245ADE" w:rsidRPr="00245ADE">
        <w:t xml:space="preserve"> an early stage.</w:t>
      </w:r>
    </w:p>
    <w:p w14:paraId="0F64EF52" w14:textId="0EBC5718" w:rsidR="0036002A" w:rsidRPr="0036002A" w:rsidRDefault="0036002A" w:rsidP="00461CC1">
      <w:pPr>
        <w:pStyle w:val="Heading3"/>
        <w:ind w:firstLine="567"/>
      </w:pPr>
      <w:r w:rsidRPr="0036002A">
        <w:t>Assessment</w:t>
      </w:r>
    </w:p>
    <w:p w14:paraId="2B3F46E0" w14:textId="23E47A98" w:rsidR="004425C4" w:rsidRDefault="004425C4" w:rsidP="006020AD">
      <w:pPr>
        <w:pStyle w:val="Para1"/>
        <w:tabs>
          <w:tab w:val="clear" w:pos="709"/>
          <w:tab w:val="num" w:pos="567"/>
        </w:tabs>
        <w:ind w:left="567"/>
      </w:pPr>
      <w:r>
        <w:t>I note that</w:t>
      </w:r>
      <w:r w:rsidR="00085337">
        <w:t xml:space="preserve"> the</w:t>
      </w:r>
      <w:r>
        <w:t xml:space="preserve"> </w:t>
      </w:r>
      <w:r w:rsidR="0006501C">
        <w:t xml:space="preserve">Falconbridge </w:t>
      </w:r>
      <w:r>
        <w:t>decision relate</w:t>
      </w:r>
      <w:r w:rsidR="00C0654D">
        <w:t>s</w:t>
      </w:r>
      <w:r>
        <w:t xml:space="preserve"> to </w:t>
      </w:r>
      <w:r w:rsidR="006E082F">
        <w:t xml:space="preserve">a costs application following </w:t>
      </w:r>
      <w:r w:rsidR="00786C65">
        <w:t>a planning matter that</w:t>
      </w:r>
      <w:r w:rsidR="0081475E">
        <w:t xml:space="preserve"> had been</w:t>
      </w:r>
      <w:r w:rsidR="00786C65">
        <w:t xml:space="preserve"> </w:t>
      </w:r>
      <w:r w:rsidR="006E082F">
        <w:t>struck out. The decision did not find the application was vexatious due to a collateral purpose</w:t>
      </w:r>
      <w:r w:rsidR="00762B05">
        <w:t>,</w:t>
      </w:r>
      <w:r w:rsidR="006E082F">
        <w:t xml:space="preserve"> and was decided on other reasons. In relation to </w:t>
      </w:r>
      <w:r w:rsidR="00786C65">
        <w:t xml:space="preserve">whether a matter was </w:t>
      </w:r>
      <w:r w:rsidR="006E082F">
        <w:t xml:space="preserve">vexatious due to </w:t>
      </w:r>
      <w:r w:rsidR="009E4A30">
        <w:t xml:space="preserve">a </w:t>
      </w:r>
      <w:r w:rsidR="006E082F">
        <w:t>collateral purpose</w:t>
      </w:r>
      <w:r w:rsidR="0006501C">
        <w:t>,</w:t>
      </w:r>
      <w:r w:rsidR="006E082F">
        <w:t xml:space="preserve"> the decision refer</w:t>
      </w:r>
      <w:r w:rsidR="0081475E">
        <w:t>red</w:t>
      </w:r>
      <w:r w:rsidR="006E082F">
        <w:t xml:space="preserve"> to </w:t>
      </w:r>
      <w:r w:rsidR="006E082F" w:rsidRPr="00461CC1">
        <w:rPr>
          <w:i/>
          <w:iCs/>
        </w:rPr>
        <w:t>Cabot v City of Keilor</w:t>
      </w:r>
      <w:r w:rsidR="006E082F">
        <w:t xml:space="preserve"> [1994] VicRp 14; [1994] 1 VR 220; </w:t>
      </w:r>
      <w:r w:rsidR="006E082F" w:rsidRPr="00461CC1">
        <w:rPr>
          <w:i/>
          <w:iCs/>
        </w:rPr>
        <w:t>Attorney General v Wentworth</w:t>
      </w:r>
      <w:r w:rsidR="006E082F">
        <w:t xml:space="preserve"> (1998) 14 NSWR 481; and </w:t>
      </w:r>
      <w:r w:rsidR="006E082F" w:rsidRPr="00461CC1">
        <w:rPr>
          <w:i/>
          <w:iCs/>
        </w:rPr>
        <w:t xml:space="preserve">Al-Hakim v Arthur Robinson and Hedderwicks </w:t>
      </w:r>
      <w:r w:rsidR="006E082F">
        <w:t>[2001] VCAT 1767</w:t>
      </w:r>
      <w:r w:rsidR="0006501C">
        <w:t>.</w:t>
      </w:r>
      <w:r w:rsidR="0081475E">
        <w:rPr>
          <w:rStyle w:val="FootnoteReference"/>
        </w:rPr>
        <w:footnoteReference w:id="2"/>
      </w:r>
      <w:r w:rsidR="006E082F">
        <w:t xml:space="preserve"> </w:t>
      </w:r>
    </w:p>
    <w:p w14:paraId="2EC691F4" w14:textId="66BBF5B2" w:rsidR="00774126" w:rsidRDefault="00774126" w:rsidP="00F44739">
      <w:pPr>
        <w:pStyle w:val="Para1"/>
        <w:tabs>
          <w:tab w:val="clear" w:pos="709"/>
          <w:tab w:val="num" w:pos="567"/>
        </w:tabs>
        <w:ind w:left="567"/>
      </w:pPr>
      <w:r>
        <w:t>I</w:t>
      </w:r>
      <w:r w:rsidR="00F44739">
        <w:t>n</w:t>
      </w:r>
      <w:r>
        <w:t xml:space="preserve"> </w:t>
      </w:r>
      <w:r w:rsidRPr="00461CC1">
        <w:rPr>
          <w:i/>
          <w:iCs/>
        </w:rPr>
        <w:t>Cabot v City of Keilo</w:t>
      </w:r>
      <w:r w:rsidR="00F44739" w:rsidRPr="00461CC1">
        <w:rPr>
          <w:i/>
          <w:iCs/>
        </w:rPr>
        <w:t>r</w:t>
      </w:r>
      <w:r>
        <w:t xml:space="preserve"> Justice Gobbo </w:t>
      </w:r>
      <w:r w:rsidR="00786C65">
        <w:t>referred to</w:t>
      </w:r>
      <w:r>
        <w:t xml:space="preserve"> the test set out in </w:t>
      </w:r>
      <w:r w:rsidRPr="00614F2D">
        <w:rPr>
          <w:i/>
          <w:iCs/>
        </w:rPr>
        <w:t>Attorney General v Wentworth</w:t>
      </w:r>
      <w:r>
        <w:t xml:space="preserve"> (1998) 14 NSWR 481</w:t>
      </w:r>
      <w:r w:rsidR="00F44739">
        <w:t xml:space="preserve"> at 491</w:t>
      </w:r>
      <w:r>
        <w:t xml:space="preserve"> in relation to whether a proceeding was </w:t>
      </w:r>
      <w:r w:rsidR="00F44739">
        <w:t>vexatious</w:t>
      </w:r>
      <w:r>
        <w:t xml:space="preserve"> </w:t>
      </w:r>
      <w:r w:rsidR="00F44739">
        <w:t>due to collateral purpose</w:t>
      </w:r>
      <w:r w:rsidR="009E4A30">
        <w:t>. That test was</w:t>
      </w:r>
      <w:r w:rsidR="00614F2D">
        <w:t>:</w:t>
      </w:r>
      <w:r w:rsidR="00F44739">
        <w:t xml:space="preserve"> if the proceeding is</w:t>
      </w:r>
      <w:r>
        <w:t xml:space="preserve"> brought for a </w:t>
      </w:r>
      <w:r w:rsidR="00F44739">
        <w:t>collateral</w:t>
      </w:r>
      <w:r>
        <w:t xml:space="preserve"> </w:t>
      </w:r>
      <w:r w:rsidR="00F44739">
        <w:t>purpose, and not for the purpose of having the Court adjudicate on the issues to which they give rise.</w:t>
      </w:r>
    </w:p>
    <w:p w14:paraId="0CDB9728" w14:textId="575A0D81" w:rsidR="00B93365" w:rsidRDefault="00B93365" w:rsidP="00B93365">
      <w:pPr>
        <w:pStyle w:val="Para1"/>
        <w:tabs>
          <w:tab w:val="clear" w:pos="709"/>
          <w:tab w:val="num" w:pos="567"/>
        </w:tabs>
        <w:ind w:left="567"/>
      </w:pPr>
      <w:r>
        <w:lastRenderedPageBreak/>
        <w:t>I have also considered the decision</w:t>
      </w:r>
      <w:r w:rsidR="00BC3F51">
        <w:t>s</w:t>
      </w:r>
      <w:r>
        <w:t xml:space="preserve"> in </w:t>
      </w:r>
      <w:r w:rsidRPr="00461CC1">
        <w:rPr>
          <w:i/>
          <w:iCs/>
        </w:rPr>
        <w:t>Brown v Corrections Victoria &amp; Ors</w:t>
      </w:r>
      <w:r w:rsidRPr="00B93365">
        <w:t xml:space="preserve"> [2022] VSC 217 (3 May 2022)</w:t>
      </w:r>
      <w:r>
        <w:t xml:space="preserve">, and </w:t>
      </w:r>
      <w:r w:rsidRPr="00461CC1">
        <w:rPr>
          <w:i/>
          <w:iCs/>
        </w:rPr>
        <w:t>Axicom v Melton CC</w:t>
      </w:r>
      <w:r>
        <w:t xml:space="preserve"> [2020] VCAT 190 referred to by the respondent during oral submissions.</w:t>
      </w:r>
    </w:p>
    <w:p w14:paraId="7E1F1A08" w14:textId="18E2DFA5" w:rsidR="00B93365" w:rsidRDefault="00F44739" w:rsidP="00B93365">
      <w:pPr>
        <w:pStyle w:val="Para1"/>
        <w:tabs>
          <w:tab w:val="clear" w:pos="709"/>
          <w:tab w:val="num" w:pos="567"/>
        </w:tabs>
        <w:ind w:left="567"/>
      </w:pPr>
      <w:r>
        <w:t xml:space="preserve">While I accept the </w:t>
      </w:r>
      <w:r w:rsidR="0006501C">
        <w:t xml:space="preserve">complainant </w:t>
      </w:r>
      <w:r>
        <w:t xml:space="preserve">is an academic and has undertaken academic research and has sought information from the respondent under </w:t>
      </w:r>
      <w:r w:rsidR="00576A01">
        <w:t>FOI</w:t>
      </w:r>
      <w:r>
        <w:t xml:space="preserve"> processes, I am also satisfied the </w:t>
      </w:r>
      <w:r w:rsidR="0006501C">
        <w:t xml:space="preserve">complainant </w:t>
      </w:r>
      <w:r>
        <w:t xml:space="preserve">has a deep knowledge </w:t>
      </w:r>
      <w:r w:rsidR="00085337">
        <w:t>and interest in</w:t>
      </w:r>
      <w:r>
        <w:t xml:space="preserve"> privacy issues and is genuinely concern</w:t>
      </w:r>
      <w:r w:rsidR="009E4A30">
        <w:t>ed</w:t>
      </w:r>
      <w:r>
        <w:t xml:space="preserve"> about how organisations protect an individual’s privacy</w:t>
      </w:r>
      <w:r w:rsidR="00614F2D">
        <w:t xml:space="preserve">. </w:t>
      </w:r>
      <w:r w:rsidR="00660E38">
        <w:t xml:space="preserve">While I have considered the respondent’s oral submissions that the </w:t>
      </w:r>
      <w:r w:rsidR="0006501C">
        <w:t xml:space="preserve">complainant </w:t>
      </w:r>
      <w:r w:rsidR="00660E38">
        <w:t xml:space="preserve">has been inconsistent in relation to the reasons why she is pursuing the complaint, </w:t>
      </w:r>
      <w:r w:rsidR="00614F2D">
        <w:t>I accept</w:t>
      </w:r>
      <w:r>
        <w:t xml:space="preserve"> her </w:t>
      </w:r>
      <w:r w:rsidR="00BC3F51">
        <w:t xml:space="preserve">submissions that her </w:t>
      </w:r>
      <w:r>
        <w:t xml:space="preserve">intention </w:t>
      </w:r>
      <w:r w:rsidR="00614F2D">
        <w:t xml:space="preserve">in pursuing her complaint </w:t>
      </w:r>
      <w:r>
        <w:t xml:space="preserve">is to seek the Tribunal’s decision on the concerns she has raised.  </w:t>
      </w:r>
    </w:p>
    <w:p w14:paraId="7AAB8D9C" w14:textId="1D0AAED5" w:rsidR="00B93365" w:rsidRDefault="00F44739" w:rsidP="00E251E8">
      <w:pPr>
        <w:pStyle w:val="Para1"/>
        <w:tabs>
          <w:tab w:val="clear" w:pos="709"/>
          <w:tab w:val="num" w:pos="567"/>
        </w:tabs>
        <w:ind w:left="567"/>
      </w:pPr>
      <w:r>
        <w:t xml:space="preserve">I am not satisfied the </w:t>
      </w:r>
      <w:r w:rsidR="0006501C">
        <w:t xml:space="preserve">complainant </w:t>
      </w:r>
      <w:r>
        <w:t xml:space="preserve">has bought the proceeding for a collateral purpose and not for the purpose of having the </w:t>
      </w:r>
      <w:r w:rsidR="00085337">
        <w:t>T</w:t>
      </w:r>
      <w:r>
        <w:t>ribunal adjudicate on the issues she has raised.</w:t>
      </w:r>
      <w:r w:rsidR="00B93365">
        <w:t xml:space="preserve"> I am not satisfied the </w:t>
      </w:r>
      <w:r w:rsidR="0006501C">
        <w:t xml:space="preserve">complainant </w:t>
      </w:r>
      <w:r w:rsidR="00B93365">
        <w:t xml:space="preserve">has brought the complaint </w:t>
      </w:r>
      <w:r w:rsidR="00B93365" w:rsidRPr="00B93365">
        <w:t xml:space="preserve">not to prosecute </w:t>
      </w:r>
      <w:r w:rsidR="00B93365">
        <w:t>it</w:t>
      </w:r>
      <w:r w:rsidR="00B93365" w:rsidRPr="00B93365">
        <w:t xml:space="preserve"> to a conclusion but to use </w:t>
      </w:r>
      <w:r w:rsidR="00B93365">
        <w:t>it</w:t>
      </w:r>
      <w:r w:rsidR="00B93365" w:rsidRPr="00B93365">
        <w:t xml:space="preserve"> as a means of obtaining some advantage for which </w:t>
      </w:r>
      <w:r w:rsidR="00B93365">
        <w:t>it was</w:t>
      </w:r>
      <w:r w:rsidR="00B93365" w:rsidRPr="00B93365">
        <w:t xml:space="preserve"> not designed or some collateral advantage beyond what the law offers.</w:t>
      </w:r>
      <w:r w:rsidR="00B93365">
        <w:t xml:space="preserve"> </w:t>
      </w:r>
    </w:p>
    <w:p w14:paraId="71F3AD31" w14:textId="12D90539" w:rsidR="00C200D6" w:rsidRDefault="00614F2D" w:rsidP="00AB731E">
      <w:pPr>
        <w:pStyle w:val="Para1"/>
        <w:tabs>
          <w:tab w:val="clear" w:pos="709"/>
          <w:tab w:val="num" w:pos="567"/>
        </w:tabs>
        <w:ind w:left="567"/>
      </w:pPr>
      <w:r>
        <w:t>Therefore,</w:t>
      </w:r>
      <w:r w:rsidR="00C200D6">
        <w:t xml:space="preserve"> I am not satisfied the complaint is vexatious</w:t>
      </w:r>
      <w:r w:rsidR="00E251E8">
        <w:t xml:space="preserve"> or an abuse of process</w:t>
      </w:r>
      <w:r w:rsidR="00C200D6">
        <w:t xml:space="preserve"> and I am not of the opinion it should be summarily dismissed for th</w:t>
      </w:r>
      <w:r w:rsidR="0081475E">
        <w:t>ose</w:t>
      </w:r>
      <w:r w:rsidR="00C200D6">
        <w:t xml:space="preserve"> reason</w:t>
      </w:r>
      <w:r w:rsidR="0081475E">
        <w:t>s</w:t>
      </w:r>
      <w:r w:rsidR="00C200D6">
        <w:t>.</w:t>
      </w:r>
    </w:p>
    <w:p w14:paraId="37CB4C15" w14:textId="0EC4B9AE" w:rsidR="00614F2D" w:rsidRPr="005A674A" w:rsidRDefault="005A674A" w:rsidP="00461CC1">
      <w:pPr>
        <w:pStyle w:val="Heading3"/>
      </w:pPr>
      <w:r w:rsidRPr="005A674A">
        <w:t xml:space="preserve">Is the </w:t>
      </w:r>
      <w:r w:rsidR="009E05AF">
        <w:t>complaint</w:t>
      </w:r>
      <w:r w:rsidRPr="005A674A">
        <w:t xml:space="preserve"> frivolous, misconceived and</w:t>
      </w:r>
      <w:r w:rsidR="00E251E8">
        <w:t>/or</w:t>
      </w:r>
      <w:r w:rsidRPr="005A674A">
        <w:t xml:space="preserve"> lacking in substance?</w:t>
      </w:r>
    </w:p>
    <w:p w14:paraId="00EC45D1" w14:textId="1EF85A0F" w:rsidR="00C706C2" w:rsidRDefault="00786C65" w:rsidP="00AB731E">
      <w:pPr>
        <w:pStyle w:val="Para1"/>
        <w:tabs>
          <w:tab w:val="clear" w:pos="709"/>
          <w:tab w:val="num" w:pos="567"/>
        </w:tabs>
        <w:ind w:left="567"/>
      </w:pPr>
      <w:r>
        <w:t xml:space="preserve">The respondent </w:t>
      </w:r>
      <w:r w:rsidR="00C0654D">
        <w:t xml:space="preserve">also </w:t>
      </w:r>
      <w:r>
        <w:t xml:space="preserve">submitted the complaint should be summarily dismissed in whole or in part on the basis it </w:t>
      </w:r>
      <w:r w:rsidR="004F6CEE">
        <w:t>wa</w:t>
      </w:r>
      <w:r>
        <w:t>s misconceived or lacking in substance.</w:t>
      </w:r>
    </w:p>
    <w:p w14:paraId="727A9B45" w14:textId="68E6FE9E" w:rsidR="004F6CEE" w:rsidRDefault="00786C65" w:rsidP="004F6CEE">
      <w:pPr>
        <w:pStyle w:val="Para1"/>
        <w:tabs>
          <w:tab w:val="clear" w:pos="709"/>
          <w:tab w:val="num" w:pos="567"/>
        </w:tabs>
        <w:ind w:left="567"/>
      </w:pPr>
      <w:r>
        <w:t>The complaint outline</w:t>
      </w:r>
      <w:r w:rsidR="00A41CC2">
        <w:t>d</w:t>
      </w:r>
      <w:r>
        <w:t xml:space="preserve"> </w:t>
      </w:r>
      <w:r w:rsidR="004F6CEE">
        <w:t>claims</w:t>
      </w:r>
      <w:r>
        <w:t xml:space="preserve"> </w:t>
      </w:r>
      <w:r w:rsidR="004F6CEE">
        <w:t xml:space="preserve">that the respondent </w:t>
      </w:r>
      <w:r w:rsidR="00A41CC2">
        <w:t>breache</w:t>
      </w:r>
      <w:r w:rsidR="004F6CEE">
        <w:t>d</w:t>
      </w:r>
      <w:r w:rsidR="00A41CC2">
        <w:t xml:space="preserve"> </w:t>
      </w:r>
      <w:r w:rsidR="004F6CEE">
        <w:t xml:space="preserve">a number </w:t>
      </w:r>
      <w:r w:rsidR="00A41CC2">
        <w:t>of</w:t>
      </w:r>
      <w:r>
        <w:t xml:space="preserve"> IPPs.</w:t>
      </w:r>
      <w:r w:rsidR="004F6CEE" w:rsidRPr="004F6CEE">
        <w:t xml:space="preserve"> </w:t>
      </w:r>
      <w:r w:rsidR="004F6CEE">
        <w:t>These claims relate to the collection and handling of personal information throughout the recruitment process, the accuracy of the personal information collected, the adequacy of the respondent’s privacy policies, access to the personal information, and transfer of the personal information outside Victoria.</w:t>
      </w:r>
    </w:p>
    <w:p w14:paraId="4F241EF8" w14:textId="0B6F5407" w:rsidR="00786C65" w:rsidRDefault="00786C65" w:rsidP="00AB731E">
      <w:pPr>
        <w:pStyle w:val="Para1"/>
        <w:tabs>
          <w:tab w:val="clear" w:pos="709"/>
          <w:tab w:val="num" w:pos="567"/>
        </w:tabs>
        <w:ind w:left="567"/>
      </w:pPr>
      <w:r>
        <w:t xml:space="preserve">I will consider the application for summary dismissal against each of the </w:t>
      </w:r>
      <w:r w:rsidR="004F6CEE">
        <w:t>claims</w:t>
      </w:r>
      <w:r>
        <w:t xml:space="preserve"> and </w:t>
      </w:r>
      <w:r w:rsidR="00FF48EE">
        <w:t>submissions</w:t>
      </w:r>
      <w:r>
        <w:t xml:space="preserve"> made about the IPPs.</w:t>
      </w:r>
    </w:p>
    <w:p w14:paraId="24C17A66" w14:textId="27C7CBBC" w:rsidR="00786C65" w:rsidRPr="00BE1A4A" w:rsidRDefault="00FF48EE" w:rsidP="00461CC1">
      <w:pPr>
        <w:pStyle w:val="Heading2"/>
      </w:pPr>
      <w:r w:rsidRPr="00BE1A4A">
        <w:t>IPP 1.1</w:t>
      </w:r>
    </w:p>
    <w:p w14:paraId="2E7D087D" w14:textId="55880DC2" w:rsidR="00FF48EE" w:rsidRDefault="008A4A02" w:rsidP="00300580">
      <w:pPr>
        <w:pStyle w:val="Para1"/>
        <w:tabs>
          <w:tab w:val="clear" w:pos="709"/>
        </w:tabs>
        <w:ind w:left="567"/>
      </w:pPr>
      <w:r>
        <w:t>According to the complaint, t</w:t>
      </w:r>
      <w:r w:rsidR="0091212B">
        <w:t xml:space="preserve">he </w:t>
      </w:r>
      <w:r w:rsidR="00A40BE7">
        <w:t xml:space="preserve">complainant </w:t>
      </w:r>
      <w:r w:rsidR="0091212B">
        <w:t xml:space="preserve">asserts that through Phai, inferences were made about her personality and employability. She asserts that it was not necessary for the </w:t>
      </w:r>
      <w:r w:rsidR="009E4A30">
        <w:t>respondent</w:t>
      </w:r>
      <w:r w:rsidR="0091212B">
        <w:t xml:space="preserve"> to collect this inferred information about her to assess her suitability for a position in the program, and </w:t>
      </w:r>
      <w:r w:rsidR="00466121">
        <w:t xml:space="preserve">therefore </w:t>
      </w:r>
      <w:r w:rsidR="0091212B">
        <w:t xml:space="preserve">the </w:t>
      </w:r>
      <w:r w:rsidR="009E4A30">
        <w:t>respondent</w:t>
      </w:r>
      <w:r w:rsidR="0091212B">
        <w:t xml:space="preserve"> </w:t>
      </w:r>
      <w:r w:rsidR="00466121">
        <w:t xml:space="preserve">had </w:t>
      </w:r>
      <w:r w:rsidR="0091212B">
        <w:t>contravened IPP 1.1.</w:t>
      </w:r>
    </w:p>
    <w:p w14:paraId="7AC1E360" w14:textId="0BD722AD" w:rsidR="00466121" w:rsidRDefault="0091212B" w:rsidP="00300580">
      <w:pPr>
        <w:pStyle w:val="Para1"/>
        <w:tabs>
          <w:tab w:val="clear" w:pos="709"/>
        </w:tabs>
        <w:ind w:left="567"/>
      </w:pPr>
      <w:r>
        <w:t xml:space="preserve">The respondent submitted that the </w:t>
      </w:r>
      <w:r w:rsidR="00A40BE7">
        <w:t xml:space="preserve">complainant </w:t>
      </w:r>
      <w:r>
        <w:t xml:space="preserve">did not identify the inferences made, but rather simply asserted their existence. The respondent submitted that while it </w:t>
      </w:r>
      <w:r w:rsidR="00BC3F51">
        <w:t>wa</w:t>
      </w:r>
      <w:r>
        <w:t xml:space="preserve">s not necessary that the full evidence of a claim </w:t>
      </w:r>
      <w:r>
        <w:lastRenderedPageBreak/>
        <w:t>be presented and considered prior to hearing, the</w:t>
      </w:r>
      <w:r w:rsidR="009E4A30">
        <w:t>re</w:t>
      </w:r>
      <w:r>
        <w:t xml:space="preserve"> nonetheless needs to be some proper basis upon which the claim is made. No such basis is presented here. Moreover there </w:t>
      </w:r>
      <w:r w:rsidR="00466121">
        <w:t>wa</w:t>
      </w:r>
      <w:r>
        <w:t>s an incoherence in th</w:t>
      </w:r>
      <w:r w:rsidR="00466121">
        <w:t>e</w:t>
      </w:r>
      <w:r>
        <w:t xml:space="preserve"> claim to the extent that the </w:t>
      </w:r>
      <w:r w:rsidR="00A40BE7">
        <w:t xml:space="preserve">complainant </w:t>
      </w:r>
      <w:r>
        <w:t xml:space="preserve">gained entry into the program. The respondent acknowledged that </w:t>
      </w:r>
      <w:r w:rsidR="009E4A30">
        <w:t>they</w:t>
      </w:r>
      <w:r>
        <w:t xml:space="preserve"> did collect some personal information of applicant</w:t>
      </w:r>
      <w:r w:rsidR="00466121">
        <w:t>s</w:t>
      </w:r>
      <w:r w:rsidR="00BC3F51">
        <w:t>’</w:t>
      </w:r>
      <w:r>
        <w:t xml:space="preserve">, but that the information was necessary to ensure selection of the most suitable, motivated, and employable applicants occurred. The information was deemed necessary to fit the applicants into that category. </w:t>
      </w:r>
    </w:p>
    <w:p w14:paraId="6D1677BB" w14:textId="1F57B74E" w:rsidR="0091212B" w:rsidRDefault="0091212B" w:rsidP="00300580">
      <w:pPr>
        <w:pStyle w:val="Para1"/>
        <w:tabs>
          <w:tab w:val="clear" w:pos="709"/>
        </w:tabs>
        <w:ind w:left="567"/>
      </w:pPr>
      <w:r>
        <w:t xml:space="preserve">The </w:t>
      </w:r>
      <w:r w:rsidR="00466121">
        <w:t xml:space="preserve">respondent submitted that the </w:t>
      </w:r>
      <w:r>
        <w:t>claim ha</w:t>
      </w:r>
      <w:r w:rsidR="0029551D">
        <w:t>d</w:t>
      </w:r>
      <w:r>
        <w:t xml:space="preserve"> the perverse effect of suggesting that the information that the respondent in part used to determine that the </w:t>
      </w:r>
      <w:r w:rsidR="00A40BE7">
        <w:t xml:space="preserve">complainant </w:t>
      </w:r>
      <w:r>
        <w:t xml:space="preserve">was a successful candidate was information that should not have been used, but that presumably the decision to offer the </w:t>
      </w:r>
      <w:r w:rsidR="00A40BE7">
        <w:t xml:space="preserve">complainant </w:t>
      </w:r>
      <w:r>
        <w:t>a placement which led in part from that information should nonetheless remain.</w:t>
      </w:r>
    </w:p>
    <w:p w14:paraId="662FA1A7" w14:textId="19B3AEA7" w:rsidR="0091212B" w:rsidRDefault="009E05AF" w:rsidP="00300580">
      <w:pPr>
        <w:pStyle w:val="Para1"/>
        <w:tabs>
          <w:tab w:val="clear" w:pos="709"/>
        </w:tabs>
        <w:ind w:left="567"/>
      </w:pPr>
      <w:r>
        <w:t>T</w:t>
      </w:r>
      <w:r w:rsidR="0091212B">
        <w:t xml:space="preserve">he respondent </w:t>
      </w:r>
      <w:r>
        <w:t xml:space="preserve">also </w:t>
      </w:r>
      <w:r w:rsidR="0091212B">
        <w:t xml:space="preserve">submitted that it </w:t>
      </w:r>
      <w:r w:rsidR="003914BD">
        <w:t>wa</w:t>
      </w:r>
      <w:r w:rsidR="0091212B">
        <w:t xml:space="preserve">s uncontroversial that the creation and running of the program falls within the respondent’s functions or activities as required by IPP 1.1. As such, any claim that arises requires that the </w:t>
      </w:r>
      <w:r w:rsidR="00BA730E">
        <w:t xml:space="preserve">complainant </w:t>
      </w:r>
      <w:r w:rsidR="0091212B">
        <w:t xml:space="preserve">identify private information that falls outside of this accepted boundary within the legislation. By failing to identify any of the information collected generally, the </w:t>
      </w:r>
      <w:r w:rsidR="00BA730E">
        <w:t xml:space="preserve">complainant </w:t>
      </w:r>
      <w:r w:rsidR="0091212B">
        <w:t xml:space="preserve">has failed to demonstrate any capacity for the </w:t>
      </w:r>
      <w:r w:rsidR="00BA730E">
        <w:t xml:space="preserve">Tribunal </w:t>
      </w:r>
      <w:r w:rsidR="0091212B">
        <w:t>to determine whether such information was inappropriately used. In effect</w:t>
      </w:r>
      <w:r w:rsidR="00BA730E">
        <w:t>,</w:t>
      </w:r>
      <w:r w:rsidR="0091212B">
        <w:t xml:space="preserve"> the </w:t>
      </w:r>
      <w:r w:rsidR="00BA730E">
        <w:t xml:space="preserve">complainant </w:t>
      </w:r>
      <w:r w:rsidR="0091212B">
        <w:t>seeks to reverse the onus of the claim by pushing the respondent to disprove an unsupported allegation. This misconceives the manner in which a claim is to be made, and highlights the absence of support for the assertion made.</w:t>
      </w:r>
    </w:p>
    <w:p w14:paraId="284A604D" w14:textId="1D3FEC7A" w:rsidR="009E05AF" w:rsidRDefault="0091212B" w:rsidP="00085337">
      <w:pPr>
        <w:pStyle w:val="Para1"/>
        <w:tabs>
          <w:tab w:val="clear" w:pos="709"/>
        </w:tabs>
        <w:ind w:left="567"/>
      </w:pPr>
      <w:r>
        <w:t xml:space="preserve">The </w:t>
      </w:r>
      <w:r w:rsidR="00BA730E">
        <w:t xml:space="preserve">complainant </w:t>
      </w:r>
      <w:r>
        <w:t>submitted that it was not necessary to use PredictiveHire to collect new personal information about candidates, an opinion about their personality. To assess candidate</w:t>
      </w:r>
      <w:r w:rsidR="009E05AF">
        <w:t>s’</w:t>
      </w:r>
      <w:r>
        <w:t xml:space="preserve"> suitability for the program the </w:t>
      </w:r>
      <w:r w:rsidR="009E4A30">
        <w:t>respondent</w:t>
      </w:r>
      <w:r>
        <w:t xml:space="preserve"> used t</w:t>
      </w:r>
      <w:r w:rsidR="009E05AF">
        <w:t>w</w:t>
      </w:r>
      <w:r>
        <w:t xml:space="preserve">o assessment tools that assessed personality. </w:t>
      </w:r>
    </w:p>
    <w:p w14:paraId="5D44BDE4" w14:textId="77777777" w:rsidR="009E05AF" w:rsidRDefault="0091212B" w:rsidP="00461CC1">
      <w:pPr>
        <w:pStyle w:val="Para1"/>
        <w:numPr>
          <w:ilvl w:val="0"/>
          <w:numId w:val="11"/>
        </w:numPr>
        <w:ind w:left="1134" w:hanging="567"/>
      </w:pPr>
      <w:r>
        <w:t>One was the PredictiveHire AI algorithm</w:t>
      </w:r>
      <w:r w:rsidR="009E05AF">
        <w:t>.</w:t>
      </w:r>
    </w:p>
    <w:p w14:paraId="39200E81" w14:textId="77777777" w:rsidR="009E05AF" w:rsidRDefault="009E05AF" w:rsidP="00461CC1">
      <w:pPr>
        <w:pStyle w:val="Para1"/>
        <w:numPr>
          <w:ilvl w:val="0"/>
          <w:numId w:val="11"/>
        </w:numPr>
        <w:ind w:left="1134" w:hanging="567"/>
      </w:pPr>
      <w:r>
        <w:t>T</w:t>
      </w:r>
      <w:r w:rsidR="0091212B">
        <w:t xml:space="preserve">he second was another personality assessment. </w:t>
      </w:r>
    </w:p>
    <w:p w14:paraId="2E214293" w14:textId="12C5AF34" w:rsidR="0091212B" w:rsidRDefault="0091212B" w:rsidP="009E05AF">
      <w:pPr>
        <w:pStyle w:val="Para1"/>
        <w:tabs>
          <w:tab w:val="clear" w:pos="709"/>
        </w:tabs>
        <w:ind w:left="567"/>
      </w:pPr>
      <w:r>
        <w:t xml:space="preserve">There was also </w:t>
      </w:r>
      <w:r w:rsidR="009E05AF">
        <w:t>a third</w:t>
      </w:r>
      <w:r>
        <w:t xml:space="preserve"> assessment that was a psychometric assessment.</w:t>
      </w:r>
    </w:p>
    <w:p w14:paraId="3CA50585" w14:textId="4A742648" w:rsidR="009E05AF" w:rsidRDefault="0091212B" w:rsidP="00300580">
      <w:pPr>
        <w:pStyle w:val="Para1"/>
        <w:tabs>
          <w:tab w:val="clear" w:pos="709"/>
        </w:tabs>
        <w:ind w:left="567"/>
      </w:pPr>
      <w:r>
        <w:t xml:space="preserve">The </w:t>
      </w:r>
      <w:r w:rsidR="009D1119">
        <w:t xml:space="preserve">complainant </w:t>
      </w:r>
      <w:r>
        <w:t>submitted that the program did not use a single assessment that would be directly related to the digital focus of the digital jobs program, such as logical thinking, basic maths, basic ability to code, basic understanding of information technologies. The learning that the program provided was a 12 week</w:t>
      </w:r>
      <w:r w:rsidR="009D1119">
        <w:t xml:space="preserve"> </w:t>
      </w:r>
      <w:r>
        <w:t xml:space="preserve">study in a selected area of digital technologies. </w:t>
      </w:r>
    </w:p>
    <w:p w14:paraId="25666E8D" w14:textId="1CCA3236" w:rsidR="0091212B" w:rsidRDefault="0091212B" w:rsidP="00300580">
      <w:pPr>
        <w:pStyle w:val="Para1"/>
        <w:tabs>
          <w:tab w:val="clear" w:pos="709"/>
        </w:tabs>
        <w:ind w:left="567"/>
      </w:pPr>
      <w:r>
        <w:t xml:space="preserve">The </w:t>
      </w:r>
      <w:r w:rsidR="009D1119">
        <w:t xml:space="preserve">complainant’s </w:t>
      </w:r>
      <w:r w:rsidR="009E05AF">
        <w:t xml:space="preserve">selected area </w:t>
      </w:r>
      <w:r>
        <w:t xml:space="preserve">was data analytics with Python. The </w:t>
      </w:r>
      <w:r w:rsidR="009D1119">
        <w:t xml:space="preserve">complainant </w:t>
      </w:r>
      <w:r>
        <w:t xml:space="preserve">stated it was a difficult </w:t>
      </w:r>
      <w:r w:rsidR="009E05AF">
        <w:t xml:space="preserve">course </w:t>
      </w:r>
      <w:r>
        <w:t xml:space="preserve">that </w:t>
      </w:r>
      <w:r w:rsidR="009E05AF">
        <w:t xml:space="preserve">participants </w:t>
      </w:r>
      <w:r>
        <w:t xml:space="preserve">would only be able to do if </w:t>
      </w:r>
      <w:r w:rsidR="009E05AF">
        <w:t>they</w:t>
      </w:r>
      <w:r>
        <w:t xml:space="preserve"> had prior basic knowledge in the field. The </w:t>
      </w:r>
      <w:r w:rsidR="009D1119">
        <w:t xml:space="preserve">complainant </w:t>
      </w:r>
      <w:r>
        <w:t xml:space="preserve">submitted that a candidate’s understanding of the basics would be important for the overall success of a participant in the program itself. </w:t>
      </w:r>
    </w:p>
    <w:p w14:paraId="1A3A3075" w14:textId="47791994" w:rsidR="009D29F8" w:rsidRDefault="0091212B" w:rsidP="00300580">
      <w:pPr>
        <w:pStyle w:val="Para1"/>
        <w:tabs>
          <w:tab w:val="clear" w:pos="709"/>
        </w:tabs>
        <w:ind w:left="567"/>
      </w:pPr>
      <w:r>
        <w:lastRenderedPageBreak/>
        <w:t xml:space="preserve">The </w:t>
      </w:r>
      <w:r w:rsidR="009D1119">
        <w:t xml:space="preserve">complainant </w:t>
      </w:r>
      <w:r>
        <w:t>submitted that the selection process had t</w:t>
      </w:r>
      <w:r w:rsidR="009D29F8">
        <w:t>w</w:t>
      </w:r>
      <w:r>
        <w:t xml:space="preserve">o personality assessments but no knowledge or skill base assessments. Each of these personality assessments collected new personal information about a candidate, an opinion about their personality. </w:t>
      </w:r>
    </w:p>
    <w:p w14:paraId="3EE45F5E" w14:textId="6ADA2726" w:rsidR="0091212B" w:rsidRDefault="0091212B" w:rsidP="00300580">
      <w:pPr>
        <w:pStyle w:val="Para1"/>
        <w:tabs>
          <w:tab w:val="clear" w:pos="709"/>
        </w:tabs>
        <w:ind w:left="567"/>
      </w:pPr>
      <w:r>
        <w:t xml:space="preserve">The </w:t>
      </w:r>
      <w:r w:rsidR="009D1119">
        <w:t xml:space="preserve">complainant </w:t>
      </w:r>
      <w:r>
        <w:t>claim</w:t>
      </w:r>
      <w:r w:rsidR="00840528">
        <w:t>ed</w:t>
      </w:r>
      <w:r>
        <w:t xml:space="preserve"> that the use of at least one of these tools was excessive. The use of PredictiveHire </w:t>
      </w:r>
      <w:r w:rsidR="00136A18">
        <w:t>was not necessary as the personal information that it produced was not accurate. It d</w:t>
      </w:r>
      <w:r w:rsidR="00466121">
        <w:t>id</w:t>
      </w:r>
      <w:r w:rsidR="00136A18">
        <w:t xml:space="preserve"> not produce meaningful information about a candidate to </w:t>
      </w:r>
      <w:r w:rsidR="009D1119">
        <w:t xml:space="preserve">assess </w:t>
      </w:r>
      <w:r w:rsidR="00136A18">
        <w:t>a candidate</w:t>
      </w:r>
      <w:r w:rsidR="009D1119">
        <w:t>’s</w:t>
      </w:r>
      <w:r w:rsidR="00136A18">
        <w:t xml:space="preserve"> suitability for the program and therefore </w:t>
      </w:r>
      <w:r w:rsidR="009D1119">
        <w:t xml:space="preserve">it was </w:t>
      </w:r>
      <w:r w:rsidR="00136A18">
        <w:t>excessive and not necessary.</w:t>
      </w:r>
    </w:p>
    <w:p w14:paraId="51F07068" w14:textId="2BDEF22D" w:rsidR="006E29A7" w:rsidRPr="003914BD" w:rsidRDefault="006E29A7" w:rsidP="00461CC1">
      <w:pPr>
        <w:pStyle w:val="Heading3"/>
        <w:ind w:firstLine="567"/>
      </w:pPr>
      <w:r w:rsidRPr="003914BD">
        <w:t>Assessment</w:t>
      </w:r>
    </w:p>
    <w:p w14:paraId="3B9F793F" w14:textId="43F8BFBC" w:rsidR="00E47746" w:rsidRDefault="00E47746" w:rsidP="00E47746">
      <w:pPr>
        <w:pStyle w:val="Para1"/>
        <w:tabs>
          <w:tab w:val="clear" w:pos="709"/>
        </w:tabs>
        <w:ind w:left="567"/>
      </w:pPr>
      <w:r>
        <w:t xml:space="preserve">IPP 1.1 states that an organisation must not collect personal information unless the information </w:t>
      </w:r>
      <w:r w:rsidRPr="00FF48EE">
        <w:t>is necessary for one or more of its functions or activities.</w:t>
      </w:r>
    </w:p>
    <w:p w14:paraId="181CCE33" w14:textId="417A8ED6" w:rsidR="006E29A7" w:rsidRDefault="00007057" w:rsidP="00300580">
      <w:pPr>
        <w:pStyle w:val="Para1"/>
        <w:tabs>
          <w:tab w:val="clear" w:pos="709"/>
        </w:tabs>
        <w:ind w:left="567"/>
      </w:pPr>
      <w:r>
        <w:t xml:space="preserve">While I have considered the respondent’s submissions, I note the applicant has provided further information in her oral and written submissions in relation to </w:t>
      </w:r>
      <w:r w:rsidR="00E47746">
        <w:t>her claim that the respondent has breached IPP 1.1.</w:t>
      </w:r>
    </w:p>
    <w:p w14:paraId="0B91D55C" w14:textId="71B8B7E2" w:rsidR="00BB4E1A" w:rsidRDefault="00BB4E1A" w:rsidP="00BB4E1A">
      <w:pPr>
        <w:pStyle w:val="Para1"/>
        <w:tabs>
          <w:tab w:val="clear" w:pos="709"/>
        </w:tabs>
        <w:ind w:left="567"/>
      </w:pPr>
      <w:r>
        <w:t xml:space="preserve">The power under section 75(1) does not allow the Tribunal to strike out a proceeding on the basis of poor drafting, it looks to the cause or causes of action. I consider the concerns raised by the respondent can be addressed by requiring the complainant to consolidate and focus the information she has provided in relation to her claims in a particulars of claim document. </w:t>
      </w:r>
    </w:p>
    <w:p w14:paraId="5638784D" w14:textId="24AB9CAF" w:rsidR="00E47746" w:rsidRDefault="00E47746" w:rsidP="00E47746">
      <w:pPr>
        <w:pStyle w:val="Para1"/>
        <w:tabs>
          <w:tab w:val="clear" w:pos="709"/>
        </w:tabs>
        <w:ind w:left="567"/>
      </w:pPr>
      <w:r>
        <w:t>As noted above, the respondent bears the persuasive burden of showing the complaint should be summarily dismissed or stuck out.</w:t>
      </w:r>
    </w:p>
    <w:p w14:paraId="5FF8B10C" w14:textId="21291E42" w:rsidR="00BB4E1A" w:rsidRDefault="00E47746" w:rsidP="00E47746">
      <w:pPr>
        <w:pStyle w:val="Para1"/>
        <w:tabs>
          <w:tab w:val="clear" w:pos="709"/>
        </w:tabs>
        <w:ind w:left="567"/>
      </w:pPr>
      <w:r>
        <w:t xml:space="preserve">On the material before me, I am not </w:t>
      </w:r>
      <w:r w:rsidR="00BB4E1A">
        <w:t>of the opinion that the complainant</w:t>
      </w:r>
      <w:r w:rsidR="00CE1552">
        <w:t>’</w:t>
      </w:r>
      <w:r w:rsidR="00BB4E1A">
        <w:t xml:space="preserve">s claims in relation to IPP1.1 are frivolous, vexatious, misconceived or lacking in substance or otherwise an abuse of process. </w:t>
      </w:r>
    </w:p>
    <w:p w14:paraId="31E05366" w14:textId="7F1EF2C2" w:rsidR="00E47746" w:rsidRDefault="00BB4E1A" w:rsidP="00E47746">
      <w:pPr>
        <w:pStyle w:val="Para1"/>
        <w:tabs>
          <w:tab w:val="clear" w:pos="709"/>
        </w:tabs>
        <w:ind w:left="567"/>
      </w:pPr>
      <w:r>
        <w:t xml:space="preserve">I am not </w:t>
      </w:r>
      <w:r w:rsidR="00E47746">
        <w:t>satisfied that the complaint in relation to breach of IPP 1.1 should be summarily dismissed or struck out.</w:t>
      </w:r>
    </w:p>
    <w:p w14:paraId="71B3777B" w14:textId="711273A2" w:rsidR="00777F01" w:rsidRPr="00BE1A4A" w:rsidRDefault="00BE1A4A" w:rsidP="00461CC1">
      <w:pPr>
        <w:pStyle w:val="Heading2"/>
      </w:pPr>
      <w:r w:rsidRPr="00BE1A4A">
        <w:t>IPP</w:t>
      </w:r>
      <w:r w:rsidR="009D29F8">
        <w:t xml:space="preserve"> </w:t>
      </w:r>
      <w:r w:rsidRPr="00BE1A4A">
        <w:t>1.3</w:t>
      </w:r>
    </w:p>
    <w:p w14:paraId="716E6A63" w14:textId="41575C2A" w:rsidR="00777F01" w:rsidRDefault="008A4A02" w:rsidP="00300580">
      <w:pPr>
        <w:pStyle w:val="Para1"/>
        <w:tabs>
          <w:tab w:val="clear" w:pos="709"/>
        </w:tabs>
        <w:ind w:left="567"/>
      </w:pPr>
      <w:r>
        <w:t>According to the complaint, t</w:t>
      </w:r>
      <w:r w:rsidR="00136A18">
        <w:t xml:space="preserve">he </w:t>
      </w:r>
      <w:r w:rsidR="00E63B51">
        <w:t xml:space="preserve">complainant </w:t>
      </w:r>
      <w:r w:rsidR="00136A18">
        <w:t>asserted that when applying to the program:</w:t>
      </w:r>
    </w:p>
    <w:p w14:paraId="3E2B6FC5" w14:textId="22590003" w:rsidR="00136A18" w:rsidRDefault="00E63B51" w:rsidP="00461CC1">
      <w:pPr>
        <w:pStyle w:val="Para1"/>
        <w:numPr>
          <w:ilvl w:val="1"/>
          <w:numId w:val="9"/>
        </w:numPr>
        <w:tabs>
          <w:tab w:val="clear" w:pos="1440"/>
          <w:tab w:val="num" w:pos="567"/>
        </w:tabs>
        <w:ind w:left="1134" w:hanging="567"/>
      </w:pPr>
      <w:r>
        <w:t xml:space="preserve">she </w:t>
      </w:r>
      <w:r w:rsidR="00136A18">
        <w:t>was not made aware of what she would be assessed upon by</w:t>
      </w:r>
      <w:r w:rsidR="002855A6">
        <w:t xml:space="preserve"> Phai </w:t>
      </w:r>
      <w:r>
        <w:rPr>
          <w:rFonts w:ascii="Arial" w:hAnsi="Arial" w:cs="Arial"/>
          <w:color w:val="4D5156"/>
          <w:sz w:val="21"/>
          <w:szCs w:val="21"/>
          <w:shd w:val="clear" w:color="auto" w:fill="FFFFFF"/>
        </w:rPr>
        <w:t>–</w:t>
      </w:r>
      <w:r w:rsidR="00136A18">
        <w:t xml:space="preserve"> employability or personality;</w:t>
      </w:r>
    </w:p>
    <w:p w14:paraId="34834DB7" w14:textId="12DDF2C7" w:rsidR="002855A6" w:rsidRDefault="00E63B51" w:rsidP="00461CC1">
      <w:pPr>
        <w:pStyle w:val="Para1"/>
        <w:numPr>
          <w:ilvl w:val="1"/>
          <w:numId w:val="9"/>
        </w:numPr>
        <w:tabs>
          <w:tab w:val="clear" w:pos="1440"/>
          <w:tab w:val="num" w:pos="567"/>
        </w:tabs>
        <w:ind w:left="1134" w:hanging="567"/>
      </w:pPr>
      <w:r>
        <w:t xml:space="preserve">she </w:t>
      </w:r>
      <w:r w:rsidR="00136A18">
        <w:t>may have been misled in that</w:t>
      </w:r>
      <w:r w:rsidR="002855A6">
        <w:t xml:space="preserve"> the Department indicated that her employability would be </w:t>
      </w:r>
      <w:r w:rsidR="00136A18">
        <w:t>assessed when it may only have been her personality that was being assessed</w:t>
      </w:r>
      <w:r>
        <w:t>;</w:t>
      </w:r>
      <w:r w:rsidR="00136A18" w:rsidRPr="00136A18">
        <w:t xml:space="preserve"> </w:t>
      </w:r>
    </w:p>
    <w:p w14:paraId="0AB44C0E" w14:textId="67B77443" w:rsidR="002855A6" w:rsidRDefault="00E63B51" w:rsidP="00461CC1">
      <w:pPr>
        <w:pStyle w:val="Para1"/>
        <w:numPr>
          <w:ilvl w:val="1"/>
          <w:numId w:val="9"/>
        </w:numPr>
        <w:tabs>
          <w:tab w:val="clear" w:pos="1440"/>
          <w:tab w:val="num" w:pos="567"/>
        </w:tabs>
        <w:ind w:left="1134" w:hanging="567"/>
      </w:pPr>
      <w:r>
        <w:t xml:space="preserve">she </w:t>
      </w:r>
      <w:r w:rsidR="00136A18">
        <w:t>was not made aware of the basis upon which inferences would be made about her employability or personality by</w:t>
      </w:r>
      <w:r w:rsidR="002855A6">
        <w:t xml:space="preserve"> Phai;</w:t>
      </w:r>
    </w:p>
    <w:p w14:paraId="21E40E19" w14:textId="47DB90FD" w:rsidR="00136A18" w:rsidRDefault="00E63B51" w:rsidP="00461CC1">
      <w:pPr>
        <w:pStyle w:val="Para1"/>
        <w:numPr>
          <w:ilvl w:val="1"/>
          <w:numId w:val="9"/>
        </w:numPr>
        <w:tabs>
          <w:tab w:val="clear" w:pos="1440"/>
          <w:tab w:val="num" w:pos="567"/>
        </w:tabs>
        <w:ind w:left="1134" w:hanging="567"/>
      </w:pPr>
      <w:r>
        <w:t xml:space="preserve">the </w:t>
      </w:r>
      <w:r w:rsidR="00136A18">
        <w:t>respondent did not explain how it would use</w:t>
      </w:r>
      <w:r w:rsidR="00136A18" w:rsidRPr="00136A18">
        <w:t xml:space="preserve"> the inferred information to make a decision about her suitability for the program</w:t>
      </w:r>
      <w:r w:rsidR="00136A18">
        <w:t>;</w:t>
      </w:r>
    </w:p>
    <w:p w14:paraId="12187808" w14:textId="5BDCFA3F" w:rsidR="00136A18" w:rsidRDefault="00466121" w:rsidP="00461CC1">
      <w:pPr>
        <w:pStyle w:val="Para1"/>
        <w:numPr>
          <w:ilvl w:val="1"/>
          <w:numId w:val="9"/>
        </w:numPr>
        <w:tabs>
          <w:tab w:val="clear" w:pos="1440"/>
          <w:tab w:val="num" w:pos="567"/>
        </w:tabs>
        <w:ind w:left="1134" w:hanging="567"/>
      </w:pPr>
      <w:r>
        <w:lastRenderedPageBreak/>
        <w:t>s</w:t>
      </w:r>
      <w:r w:rsidR="00136A18" w:rsidRPr="00136A18">
        <w:t>he was not made aware of all the purposes for which her information would be used by</w:t>
      </w:r>
      <w:r w:rsidR="00136A18">
        <w:t xml:space="preserve"> PredictiveHire, </w:t>
      </w:r>
      <w:r w:rsidR="00136A18" w:rsidRPr="00136A18">
        <w:t xml:space="preserve">such </w:t>
      </w:r>
      <w:r w:rsidR="002855A6">
        <w:t>a</w:t>
      </w:r>
      <w:r w:rsidR="00136A18" w:rsidRPr="00136A18">
        <w:t>s for the purpose of training the relevant algorithm</w:t>
      </w:r>
      <w:r w:rsidR="00136A18">
        <w:t>;</w:t>
      </w:r>
      <w:r w:rsidR="00E63B51">
        <w:t xml:space="preserve"> and</w:t>
      </w:r>
    </w:p>
    <w:p w14:paraId="45859254" w14:textId="7BE14BAB" w:rsidR="00136A18" w:rsidRDefault="00466121" w:rsidP="00461CC1">
      <w:pPr>
        <w:pStyle w:val="Para1"/>
        <w:numPr>
          <w:ilvl w:val="1"/>
          <w:numId w:val="9"/>
        </w:numPr>
        <w:tabs>
          <w:tab w:val="clear" w:pos="1440"/>
          <w:tab w:val="num" w:pos="567"/>
        </w:tabs>
        <w:ind w:left="1134" w:hanging="567"/>
      </w:pPr>
      <w:r>
        <w:t>s</w:t>
      </w:r>
      <w:r w:rsidR="00136A18" w:rsidRPr="00136A18">
        <w:t>he was not made aware of the purpose for which her information was being disclosed to</w:t>
      </w:r>
      <w:r w:rsidR="00136A18">
        <w:t xml:space="preserve"> QuestionPro </w:t>
      </w:r>
      <w:r w:rsidR="002855A6">
        <w:t>w</w:t>
      </w:r>
      <w:r w:rsidR="00136A18" w:rsidRPr="00136A18">
        <w:t>hen she undertook the midpoint survey she completed</w:t>
      </w:r>
      <w:r>
        <w:t>,</w:t>
      </w:r>
      <w:r w:rsidR="00136A18" w:rsidRPr="00136A18">
        <w:t xml:space="preserve"> </w:t>
      </w:r>
      <w:r w:rsidR="002855A6">
        <w:t>or</w:t>
      </w:r>
      <w:r w:rsidR="00136A18" w:rsidRPr="00136A18">
        <w:t xml:space="preserve"> the purpose for </w:t>
      </w:r>
      <w:r w:rsidR="00136A18">
        <w:t xml:space="preserve">which QuestionPro </w:t>
      </w:r>
      <w:r w:rsidR="0089278A">
        <w:t>w</w:t>
      </w:r>
      <w:r w:rsidR="00136A18" w:rsidRPr="00136A18">
        <w:t xml:space="preserve">ould </w:t>
      </w:r>
      <w:r w:rsidR="0089278A">
        <w:t>use her</w:t>
      </w:r>
      <w:r w:rsidR="00136A18" w:rsidRPr="00136A18">
        <w:t xml:space="preserve"> information.</w:t>
      </w:r>
    </w:p>
    <w:p w14:paraId="3E01714D" w14:textId="4CEBE1A4" w:rsidR="00777F01" w:rsidRDefault="00CD6B84" w:rsidP="00300580">
      <w:pPr>
        <w:pStyle w:val="Para1"/>
        <w:tabs>
          <w:tab w:val="clear" w:pos="709"/>
        </w:tabs>
        <w:ind w:left="567"/>
      </w:pPr>
      <w:r w:rsidRPr="00CD6B84">
        <w:t>The respondent</w:t>
      </w:r>
      <w:r>
        <w:t xml:space="preserve"> submitted that the</w:t>
      </w:r>
      <w:r w:rsidR="003217F2">
        <w:t>ir</w:t>
      </w:r>
      <w:r>
        <w:t xml:space="preserve"> concerns in relation to IPP 1.1 are also relevant to this complaint. </w:t>
      </w:r>
      <w:r w:rsidRPr="00CD6B84">
        <w:t xml:space="preserve">The </w:t>
      </w:r>
      <w:r w:rsidR="00E63B51">
        <w:t>complainant</w:t>
      </w:r>
      <w:r w:rsidR="00E63B51" w:rsidRPr="00CD6B84">
        <w:t xml:space="preserve"> </w:t>
      </w:r>
      <w:r w:rsidRPr="00CD6B84">
        <w:t>ha</w:t>
      </w:r>
      <w:r w:rsidR="0029551D">
        <w:t>d</w:t>
      </w:r>
      <w:r w:rsidRPr="00CD6B84">
        <w:t xml:space="preserve"> based the cl</w:t>
      </w:r>
      <w:r>
        <w:t>aim</w:t>
      </w:r>
      <w:r w:rsidRPr="00CD6B84">
        <w:t xml:space="preserve"> on an unsupported assertion of </w:t>
      </w:r>
      <w:r>
        <w:t>breach</w:t>
      </w:r>
      <w:r w:rsidRPr="00CD6B84">
        <w:t xml:space="preserve">. This is most clearly seen in the language pertaining to the second of the six assertions. Similarly the </w:t>
      </w:r>
      <w:r w:rsidR="00E63B51">
        <w:t xml:space="preserve">complainant </w:t>
      </w:r>
      <w:r>
        <w:t xml:space="preserve">acts on a </w:t>
      </w:r>
      <w:r w:rsidRPr="00CD6B84">
        <w:t xml:space="preserve">presumption that the information was used for the purpose of training the relevant algorithm. </w:t>
      </w:r>
      <w:r>
        <w:t xml:space="preserve">This claim has </w:t>
      </w:r>
      <w:r w:rsidRPr="00CD6B84">
        <w:t xml:space="preserve">no basis in fact whatsoever. Concerns that the </w:t>
      </w:r>
      <w:r w:rsidR="00E63B51">
        <w:t>complainant</w:t>
      </w:r>
      <w:r w:rsidR="00E63B51" w:rsidRPr="00CD6B84">
        <w:t xml:space="preserve"> </w:t>
      </w:r>
      <w:r w:rsidR="0029551D">
        <w:t>has about how</w:t>
      </w:r>
      <w:r w:rsidRPr="00CD6B84">
        <w:t xml:space="preserve"> information can be used</w:t>
      </w:r>
      <w:r>
        <w:t xml:space="preserve"> a</w:t>
      </w:r>
      <w:r w:rsidRPr="00CD6B84">
        <w:t xml:space="preserve">t large </w:t>
      </w:r>
      <w:r>
        <w:t>are</w:t>
      </w:r>
      <w:r w:rsidRPr="00CD6B84">
        <w:t xml:space="preserve"> not</w:t>
      </w:r>
      <w:r>
        <w:t xml:space="preserve"> s</w:t>
      </w:r>
      <w:r w:rsidRPr="00CD6B84">
        <w:t xml:space="preserve">ufficient to ground </w:t>
      </w:r>
      <w:r>
        <w:t>a</w:t>
      </w:r>
      <w:r w:rsidRPr="00CD6B84">
        <w:t xml:space="preserve"> </w:t>
      </w:r>
      <w:r>
        <w:t>c</w:t>
      </w:r>
      <w:r w:rsidRPr="00CD6B84">
        <w:t xml:space="preserve">omplaint about the actual use of information </w:t>
      </w:r>
      <w:r>
        <w:t>in a</w:t>
      </w:r>
      <w:r w:rsidRPr="00CD6B84">
        <w:t xml:space="preserve"> program to which the </w:t>
      </w:r>
      <w:r w:rsidR="00E63B51">
        <w:t>complainant</w:t>
      </w:r>
      <w:r w:rsidR="00E63B51" w:rsidRPr="00CD6B84">
        <w:t xml:space="preserve"> </w:t>
      </w:r>
      <w:r w:rsidRPr="00CD6B84">
        <w:t xml:space="preserve">was admitted. </w:t>
      </w:r>
      <w:r w:rsidR="00466121">
        <w:t>While the</w:t>
      </w:r>
      <w:r w:rsidRPr="00CD6B84">
        <w:t xml:space="preserve"> claim does not need to be prove</w:t>
      </w:r>
      <w:r w:rsidR="00E63B51">
        <w:t>n</w:t>
      </w:r>
      <w:r w:rsidRPr="00CD6B84">
        <w:t xml:space="preserve"> at this stage of a proceeding, it must have a basis to be made. Where such a basis is absent, the complaint should be dismissed.</w:t>
      </w:r>
    </w:p>
    <w:p w14:paraId="35A4F348" w14:textId="6B8CB57F" w:rsidR="009B3927" w:rsidRDefault="00CD6B84" w:rsidP="00300580">
      <w:pPr>
        <w:pStyle w:val="Para1"/>
        <w:tabs>
          <w:tab w:val="clear" w:pos="709"/>
        </w:tabs>
        <w:ind w:left="567"/>
      </w:pPr>
      <w:r>
        <w:t>In response</w:t>
      </w:r>
      <w:r w:rsidR="00E63B51">
        <w:t>,</w:t>
      </w:r>
      <w:r>
        <w:t xml:space="preserve"> the </w:t>
      </w:r>
      <w:r w:rsidR="00E63B51">
        <w:t xml:space="preserve">complainant </w:t>
      </w:r>
      <w:r>
        <w:t xml:space="preserve">submitted that </w:t>
      </w:r>
      <w:r w:rsidR="00B578BE" w:rsidRPr="00B578BE">
        <w:t>the application form for the program</w:t>
      </w:r>
      <w:r w:rsidR="00B578BE">
        <w:t>, which was t</w:t>
      </w:r>
      <w:r w:rsidR="00B578BE" w:rsidRPr="00B578BE">
        <w:t xml:space="preserve">he first point where the </w:t>
      </w:r>
      <w:r w:rsidR="00E63B51">
        <w:t>complainant’s</w:t>
      </w:r>
      <w:r w:rsidR="00E63B51" w:rsidRPr="00B578BE">
        <w:t xml:space="preserve"> </w:t>
      </w:r>
      <w:r w:rsidR="00B578BE" w:rsidRPr="00B578BE">
        <w:t>personal information was collected</w:t>
      </w:r>
      <w:r w:rsidR="00B578BE">
        <w:t>, collected</w:t>
      </w:r>
      <w:r w:rsidR="00B578BE" w:rsidRPr="00B578BE">
        <w:t xml:space="preserve"> sensitive information about</w:t>
      </w:r>
      <w:r w:rsidR="00B578BE">
        <w:t xml:space="preserve"> e</w:t>
      </w:r>
      <w:r w:rsidR="00B578BE" w:rsidRPr="00B578BE">
        <w:t xml:space="preserve">thnic origins, language, </w:t>
      </w:r>
      <w:r w:rsidR="00B578BE">
        <w:t>h</w:t>
      </w:r>
      <w:r w:rsidR="00B578BE" w:rsidRPr="00B578BE">
        <w:t xml:space="preserve">ealth information about disability, and sensitive personal information about criminal records. </w:t>
      </w:r>
    </w:p>
    <w:p w14:paraId="63F647F7" w14:textId="11226D28" w:rsidR="009B3927" w:rsidRDefault="00B578BE" w:rsidP="009B3927">
      <w:pPr>
        <w:pStyle w:val="Para1"/>
        <w:tabs>
          <w:tab w:val="clear" w:pos="709"/>
        </w:tabs>
        <w:ind w:left="567"/>
      </w:pPr>
      <w:r w:rsidRPr="00B578BE">
        <w:t xml:space="preserve">The </w:t>
      </w:r>
      <w:r w:rsidR="00E63B51">
        <w:t xml:space="preserve">complainant </w:t>
      </w:r>
      <w:r>
        <w:t xml:space="preserve">submitted </w:t>
      </w:r>
      <w:r w:rsidRPr="00B578BE">
        <w:t>that the application form IPP 1.3 notice was not clear on the purpose of the collection of the personal and health information.</w:t>
      </w:r>
      <w:r w:rsidR="009B3927">
        <w:t xml:space="preserve"> The notice was not about the purpose of collection of personal information, it was about permission to contact people or companies for the purpose of assessing the application.</w:t>
      </w:r>
    </w:p>
    <w:p w14:paraId="11DA977E" w14:textId="1FE91101" w:rsidR="00F4545D" w:rsidRDefault="00F4545D" w:rsidP="00300580">
      <w:pPr>
        <w:pStyle w:val="Para1"/>
        <w:tabs>
          <w:tab w:val="clear" w:pos="709"/>
        </w:tabs>
        <w:ind w:left="567"/>
      </w:pPr>
      <w:r>
        <w:t xml:space="preserve">The applicant </w:t>
      </w:r>
      <w:r w:rsidR="00776E03">
        <w:t xml:space="preserve">also </w:t>
      </w:r>
      <w:r>
        <w:t>submitted that the IPP 1.3 notice did not specify how to contact the organisation, the fact that the individual was able to gain access to the information, and to who (or the types of individuals or organisations to which a) the organisation usually discloses information of that kind.</w:t>
      </w:r>
    </w:p>
    <w:p w14:paraId="72735E65" w14:textId="43BB037C" w:rsidR="0089278A" w:rsidRDefault="0089278A" w:rsidP="00300580">
      <w:pPr>
        <w:pStyle w:val="Para1"/>
        <w:tabs>
          <w:tab w:val="clear" w:pos="709"/>
        </w:tabs>
        <w:ind w:left="567"/>
      </w:pPr>
      <w:r>
        <w:t xml:space="preserve">The applicant also made submissions about </w:t>
      </w:r>
      <w:r w:rsidR="006D3724">
        <w:t xml:space="preserve">the </w:t>
      </w:r>
      <w:r>
        <w:t>request</w:t>
      </w:r>
      <w:r w:rsidR="006D3724">
        <w:t xml:space="preserve"> for</w:t>
      </w:r>
      <w:r>
        <w:t xml:space="preserve"> information about criminal records and about the validity of </w:t>
      </w:r>
      <w:r w:rsidR="006D3724">
        <w:t xml:space="preserve">accepting the privacy policy. </w:t>
      </w:r>
      <w:r>
        <w:t xml:space="preserve"> </w:t>
      </w:r>
    </w:p>
    <w:p w14:paraId="5C17871B" w14:textId="6B9FB0A9" w:rsidR="003217F2" w:rsidRPr="0089278A" w:rsidRDefault="003217F2" w:rsidP="00461CC1">
      <w:pPr>
        <w:pStyle w:val="Heading3"/>
        <w:ind w:firstLine="567"/>
      </w:pPr>
      <w:r w:rsidRPr="0089278A">
        <w:t>Assessment</w:t>
      </w:r>
    </w:p>
    <w:p w14:paraId="478415A7" w14:textId="70C2551F" w:rsidR="006E29A7" w:rsidRPr="00EA642B" w:rsidRDefault="0089278A" w:rsidP="00EA642B">
      <w:pPr>
        <w:pStyle w:val="Para1"/>
        <w:tabs>
          <w:tab w:val="clear" w:pos="709"/>
        </w:tabs>
        <w:ind w:left="567"/>
      </w:pPr>
      <w:r w:rsidRPr="00EA642B">
        <w:t xml:space="preserve">IPP 1.3 states that at or before the time </w:t>
      </w:r>
      <w:r w:rsidR="006E29A7" w:rsidRPr="00EA642B">
        <w:t>(or if that is not practicable</w:t>
      </w:r>
      <w:r w:rsidR="00EA642B">
        <w:t>,</w:t>
      </w:r>
      <w:r w:rsidR="006E29A7" w:rsidRPr="00EA642B">
        <w:t xml:space="preserve"> as soon as practicable after) </w:t>
      </w:r>
      <w:r w:rsidRPr="00EA642B">
        <w:t xml:space="preserve">an organisation collects </w:t>
      </w:r>
      <w:r w:rsidR="006E29A7" w:rsidRPr="00EA642B">
        <w:t xml:space="preserve">personal information from that individual, </w:t>
      </w:r>
      <w:r w:rsidRPr="00EA642B">
        <w:t>the organisation must take reasonable steps to ensure that the individual is aware of</w:t>
      </w:r>
      <w:r w:rsidR="006E29A7" w:rsidRPr="00EA642B">
        <w:t>—</w:t>
      </w:r>
    </w:p>
    <w:p w14:paraId="313F8C73" w14:textId="6A486BF0" w:rsidR="006E29A7" w:rsidRPr="00EA642B" w:rsidRDefault="006E29A7" w:rsidP="00EA642B">
      <w:pPr>
        <w:pStyle w:val="Para4"/>
        <w:rPr>
          <w:lang w:eastAsia="en-AU"/>
        </w:rPr>
      </w:pPr>
      <w:r w:rsidRPr="00EA642B">
        <w:rPr>
          <w:lang w:eastAsia="en-AU"/>
        </w:rPr>
        <w:t xml:space="preserve">the identity of the organisation and how to contact it; </w:t>
      </w:r>
    </w:p>
    <w:p w14:paraId="6DFBD704" w14:textId="7761C2C1" w:rsidR="006E29A7" w:rsidRPr="00EA642B" w:rsidRDefault="006E29A7" w:rsidP="00EA642B">
      <w:pPr>
        <w:pStyle w:val="Para4"/>
        <w:rPr>
          <w:lang w:eastAsia="en-AU"/>
        </w:rPr>
      </w:pPr>
      <w:r w:rsidRPr="00EA642B">
        <w:rPr>
          <w:lang w:eastAsia="en-AU"/>
        </w:rPr>
        <w:t>the fact that the individual is able to gain access to the</w:t>
      </w:r>
      <w:r w:rsidR="006868E6" w:rsidRPr="00EA642B">
        <w:rPr>
          <w:lang w:eastAsia="en-AU"/>
        </w:rPr>
        <w:t xml:space="preserve"> </w:t>
      </w:r>
      <w:r w:rsidRPr="00EA642B">
        <w:rPr>
          <w:lang w:eastAsia="en-AU"/>
        </w:rPr>
        <w:t xml:space="preserve">information; </w:t>
      </w:r>
    </w:p>
    <w:p w14:paraId="717499FA" w14:textId="1A8ADA14" w:rsidR="006E29A7" w:rsidRPr="00EA642B" w:rsidRDefault="006E29A7" w:rsidP="00EA642B">
      <w:pPr>
        <w:pStyle w:val="Para4"/>
        <w:rPr>
          <w:lang w:eastAsia="en-AU"/>
        </w:rPr>
      </w:pPr>
      <w:r w:rsidRPr="00EA642B">
        <w:rPr>
          <w:lang w:eastAsia="en-AU"/>
        </w:rPr>
        <w:lastRenderedPageBreak/>
        <w:t>the purposes for which the</w:t>
      </w:r>
      <w:r w:rsidR="006868E6" w:rsidRPr="00EA642B">
        <w:rPr>
          <w:lang w:eastAsia="en-AU"/>
        </w:rPr>
        <w:t xml:space="preserve"> </w:t>
      </w:r>
      <w:r w:rsidRPr="00EA642B">
        <w:rPr>
          <w:lang w:eastAsia="en-AU"/>
        </w:rPr>
        <w:t>information</w:t>
      </w:r>
      <w:r w:rsidR="006868E6" w:rsidRPr="00EA642B">
        <w:rPr>
          <w:lang w:eastAsia="en-AU"/>
        </w:rPr>
        <w:t xml:space="preserve"> </w:t>
      </w:r>
      <w:r w:rsidRPr="00EA642B">
        <w:rPr>
          <w:lang w:eastAsia="en-AU"/>
        </w:rPr>
        <w:t xml:space="preserve">is collected; </w:t>
      </w:r>
    </w:p>
    <w:p w14:paraId="214410D2" w14:textId="59795609" w:rsidR="006E29A7" w:rsidRPr="00EA642B" w:rsidRDefault="006E29A7" w:rsidP="00EA642B">
      <w:pPr>
        <w:pStyle w:val="Para4"/>
        <w:rPr>
          <w:lang w:eastAsia="en-AU"/>
        </w:rPr>
      </w:pPr>
      <w:r w:rsidRPr="00EA642B">
        <w:rPr>
          <w:lang w:eastAsia="en-AU"/>
        </w:rPr>
        <w:t>to whom (or the types of individuals or organisations to which) the organisation usually discloses</w:t>
      </w:r>
      <w:r w:rsidR="006868E6" w:rsidRPr="00EA642B">
        <w:rPr>
          <w:lang w:eastAsia="en-AU"/>
        </w:rPr>
        <w:t xml:space="preserve"> </w:t>
      </w:r>
      <w:r w:rsidRPr="00EA642B">
        <w:rPr>
          <w:lang w:eastAsia="en-AU"/>
        </w:rPr>
        <w:t>information</w:t>
      </w:r>
      <w:r w:rsidR="006868E6" w:rsidRPr="00EA642B">
        <w:rPr>
          <w:lang w:eastAsia="en-AU"/>
        </w:rPr>
        <w:t xml:space="preserve"> </w:t>
      </w:r>
      <w:r w:rsidRPr="00EA642B">
        <w:rPr>
          <w:lang w:eastAsia="en-AU"/>
        </w:rPr>
        <w:t xml:space="preserve">of that kind; </w:t>
      </w:r>
    </w:p>
    <w:p w14:paraId="4B460BA6" w14:textId="0610DF38" w:rsidR="006E29A7" w:rsidRPr="00EA642B" w:rsidRDefault="006E29A7" w:rsidP="00EA642B">
      <w:pPr>
        <w:pStyle w:val="Para4"/>
        <w:rPr>
          <w:lang w:eastAsia="en-AU"/>
        </w:rPr>
      </w:pPr>
      <w:r w:rsidRPr="00EA642B">
        <w:rPr>
          <w:lang w:eastAsia="en-AU"/>
        </w:rPr>
        <w:t>any law that requires the particular</w:t>
      </w:r>
      <w:r w:rsidR="006868E6" w:rsidRPr="00EA642B">
        <w:rPr>
          <w:lang w:eastAsia="en-AU"/>
        </w:rPr>
        <w:t xml:space="preserve"> </w:t>
      </w:r>
      <w:r w:rsidRPr="00EA642B">
        <w:rPr>
          <w:lang w:eastAsia="en-AU"/>
        </w:rPr>
        <w:t>information</w:t>
      </w:r>
      <w:r w:rsidR="006868E6" w:rsidRPr="00EA642B">
        <w:rPr>
          <w:lang w:eastAsia="en-AU"/>
        </w:rPr>
        <w:t xml:space="preserve"> </w:t>
      </w:r>
      <w:r w:rsidRPr="00EA642B">
        <w:rPr>
          <w:lang w:eastAsia="en-AU"/>
        </w:rPr>
        <w:t>to be collected; and</w:t>
      </w:r>
    </w:p>
    <w:p w14:paraId="12871222" w14:textId="1937EC22" w:rsidR="006E29A7" w:rsidRPr="00EA642B" w:rsidRDefault="006E29A7" w:rsidP="00EA642B">
      <w:pPr>
        <w:pStyle w:val="Para4"/>
        <w:rPr>
          <w:lang w:eastAsia="en-AU"/>
        </w:rPr>
      </w:pPr>
      <w:r w:rsidRPr="00EA642B">
        <w:rPr>
          <w:lang w:eastAsia="en-AU"/>
        </w:rPr>
        <w:t>the main consequences (if any) for the individual if all or part of the</w:t>
      </w:r>
      <w:r w:rsidR="006868E6" w:rsidRPr="00EA642B">
        <w:rPr>
          <w:lang w:eastAsia="en-AU"/>
        </w:rPr>
        <w:t xml:space="preserve"> </w:t>
      </w:r>
      <w:r w:rsidRPr="00EA642B">
        <w:rPr>
          <w:lang w:eastAsia="en-AU"/>
        </w:rPr>
        <w:t>information</w:t>
      </w:r>
      <w:r w:rsidR="006868E6" w:rsidRPr="00EA642B">
        <w:rPr>
          <w:lang w:eastAsia="en-AU"/>
        </w:rPr>
        <w:t xml:space="preserve"> </w:t>
      </w:r>
      <w:r w:rsidRPr="00EA642B">
        <w:rPr>
          <w:lang w:eastAsia="en-AU"/>
        </w:rPr>
        <w:t>is not provided.</w:t>
      </w:r>
    </w:p>
    <w:p w14:paraId="1FFC3C5F" w14:textId="2DF6CFFD" w:rsidR="00275046" w:rsidRDefault="006D3724" w:rsidP="0024259D">
      <w:pPr>
        <w:pStyle w:val="Para1"/>
        <w:tabs>
          <w:tab w:val="clear" w:pos="709"/>
        </w:tabs>
        <w:ind w:left="567"/>
      </w:pPr>
      <w:r>
        <w:t xml:space="preserve">I accept the respondent </w:t>
      </w:r>
      <w:r w:rsidR="0024259D">
        <w:t xml:space="preserve">is concerned about </w:t>
      </w:r>
      <w:r w:rsidR="0024259D" w:rsidRPr="00CD6B84">
        <w:t>unsupported assertion</w:t>
      </w:r>
      <w:r w:rsidR="00EA642B">
        <w:t>s</w:t>
      </w:r>
      <w:r w:rsidR="0024259D" w:rsidRPr="00CD6B84">
        <w:t xml:space="preserve"> of </w:t>
      </w:r>
      <w:r w:rsidR="0024259D">
        <w:t xml:space="preserve">breach raised by the </w:t>
      </w:r>
      <w:r w:rsidR="00EA642B">
        <w:t>complainant</w:t>
      </w:r>
      <w:r w:rsidR="0024259D">
        <w:t>, and I accept the</w:t>
      </w:r>
      <w:r w:rsidR="00466121">
        <w:t>ir submissions that the</w:t>
      </w:r>
      <w:r w:rsidR="0024259D">
        <w:t xml:space="preserve"> respondent must be able to understand and respond to the complaints made</w:t>
      </w:r>
      <w:r w:rsidR="00EA642B">
        <w:t>.</w:t>
      </w:r>
      <w:r w:rsidR="0024259D">
        <w:t xml:space="preserve"> </w:t>
      </w:r>
    </w:p>
    <w:p w14:paraId="6532BCF5" w14:textId="7095DFBE" w:rsidR="00275046" w:rsidRDefault="006D3724" w:rsidP="0024259D">
      <w:pPr>
        <w:pStyle w:val="Para1"/>
        <w:tabs>
          <w:tab w:val="clear" w:pos="709"/>
        </w:tabs>
        <w:ind w:left="567"/>
      </w:pPr>
      <w:r>
        <w:t xml:space="preserve">I also note </w:t>
      </w:r>
      <w:r w:rsidR="0024259D">
        <w:t xml:space="preserve">that the </w:t>
      </w:r>
      <w:r w:rsidR="00EA642B">
        <w:t xml:space="preserve">complainant </w:t>
      </w:r>
      <w:r w:rsidR="0024259D">
        <w:t xml:space="preserve">is </w:t>
      </w:r>
      <w:r w:rsidR="00776E03">
        <w:t>self-represented,</w:t>
      </w:r>
      <w:r w:rsidR="0024259D">
        <w:t xml:space="preserve"> and the</w:t>
      </w:r>
      <w:r w:rsidR="00275046">
        <w:t>refore the</w:t>
      </w:r>
      <w:r w:rsidR="0024259D">
        <w:t xml:space="preserve"> Tribunal does not expect her documents to be prepared with the same level of legal finesse as those drafted by a lawyer. </w:t>
      </w:r>
    </w:p>
    <w:p w14:paraId="5EFAF721" w14:textId="609078AE" w:rsidR="00EE7996" w:rsidRDefault="00275046" w:rsidP="0024259D">
      <w:pPr>
        <w:pStyle w:val="Para1"/>
        <w:tabs>
          <w:tab w:val="clear" w:pos="709"/>
        </w:tabs>
        <w:ind w:left="567"/>
      </w:pPr>
      <w:r>
        <w:t xml:space="preserve">While I note the complainant raised a number assertions as listed above, she has clarified her </w:t>
      </w:r>
      <w:r w:rsidR="00776E03">
        <w:t>claims</w:t>
      </w:r>
      <w:r w:rsidR="006D3724">
        <w:t xml:space="preserve"> in relation to the </w:t>
      </w:r>
      <w:r w:rsidR="00776E03">
        <w:t xml:space="preserve">purpose for which the information was collected, to whom the organisation usually discloses information of that kind, and the adequacy of the IPP 1.3 notice in relation to IPP 1.3(a), (b), &amp; (d). </w:t>
      </w:r>
    </w:p>
    <w:p w14:paraId="4254BAB1" w14:textId="77777777" w:rsidR="006E29A7" w:rsidRDefault="00EE7996" w:rsidP="00EE7996">
      <w:pPr>
        <w:pStyle w:val="Para1"/>
        <w:tabs>
          <w:tab w:val="clear" w:pos="709"/>
        </w:tabs>
        <w:ind w:left="567"/>
      </w:pPr>
      <w:r>
        <w:t>While there may be a dispute in relation to the facts of these claims</w:t>
      </w:r>
      <w:r w:rsidR="006E29A7">
        <w:t>,</w:t>
      </w:r>
      <w:r>
        <w:t xml:space="preserve"> that is for a hearing to decide. </w:t>
      </w:r>
    </w:p>
    <w:p w14:paraId="684934D6" w14:textId="03EE0F41" w:rsidR="003217F2" w:rsidRDefault="00200D9E" w:rsidP="00EE7996">
      <w:pPr>
        <w:pStyle w:val="Para1"/>
        <w:tabs>
          <w:tab w:val="clear" w:pos="709"/>
        </w:tabs>
        <w:ind w:left="567"/>
      </w:pPr>
      <w:r>
        <w:t>A</w:t>
      </w:r>
      <w:r w:rsidR="00EE7996">
        <w:t xml:space="preserve">fter considering all the submission before me, I am not satisfied that the </w:t>
      </w:r>
      <w:r w:rsidR="006E29A7">
        <w:t>complaint</w:t>
      </w:r>
      <w:r w:rsidR="00EE7996">
        <w:t xml:space="preserve"> in relation to</w:t>
      </w:r>
      <w:r w:rsidR="006E29A7">
        <w:t xml:space="preserve"> breach of</w:t>
      </w:r>
      <w:r w:rsidR="00EE7996">
        <w:t xml:space="preserve"> IPP 1.3 should be summarily dismissed or struck out</w:t>
      </w:r>
      <w:r w:rsidR="003914BD">
        <w:t>.</w:t>
      </w:r>
    </w:p>
    <w:p w14:paraId="297093BD" w14:textId="2055473D" w:rsidR="00CD6B84" w:rsidRPr="00E47746" w:rsidRDefault="00F143E6" w:rsidP="00461CC1">
      <w:pPr>
        <w:pStyle w:val="Heading2"/>
      </w:pPr>
      <w:r w:rsidRPr="00E47746">
        <w:t>IPP 1.4</w:t>
      </w:r>
    </w:p>
    <w:p w14:paraId="02B93733" w14:textId="384BDA3E" w:rsidR="004554F9" w:rsidRPr="00E47746" w:rsidRDefault="009B3927" w:rsidP="00300580">
      <w:pPr>
        <w:pStyle w:val="Para1"/>
        <w:tabs>
          <w:tab w:val="clear" w:pos="709"/>
        </w:tabs>
        <w:ind w:left="567"/>
      </w:pPr>
      <w:r w:rsidRPr="00E47746">
        <w:t xml:space="preserve">IPP 1.4 </w:t>
      </w:r>
      <w:r w:rsidR="004554F9" w:rsidRPr="00E47746">
        <w:t>states</w:t>
      </w:r>
      <w:r w:rsidRPr="00E47746">
        <w:t xml:space="preserve"> that where reasonable and practicable, </w:t>
      </w:r>
      <w:r w:rsidR="004554F9" w:rsidRPr="00E47746">
        <w:t>an organisation must collect personal information about an individual directly from that individual.</w:t>
      </w:r>
    </w:p>
    <w:p w14:paraId="51004008" w14:textId="41FC8EAB" w:rsidR="004554F9" w:rsidRDefault="008A4A02" w:rsidP="00300580">
      <w:pPr>
        <w:pStyle w:val="Para1"/>
        <w:tabs>
          <w:tab w:val="clear" w:pos="709"/>
        </w:tabs>
        <w:ind w:left="567"/>
      </w:pPr>
      <w:r>
        <w:t>According to the complaint, t</w:t>
      </w:r>
      <w:r w:rsidR="004554F9">
        <w:t xml:space="preserve">he </w:t>
      </w:r>
      <w:r w:rsidR="00EA642B">
        <w:t xml:space="preserve">complainant </w:t>
      </w:r>
      <w:r w:rsidR="004554F9">
        <w:t>assert</w:t>
      </w:r>
      <w:r w:rsidR="00F82017">
        <w:t>ed</w:t>
      </w:r>
      <w:r w:rsidR="004554F9">
        <w:t xml:space="preserve"> that it was reasonable and practicable for the respondent to collect personal information about her employability from her directly, such as through her resume. The </w:t>
      </w:r>
      <w:r w:rsidR="00EA642B">
        <w:t xml:space="preserve">complainant </w:t>
      </w:r>
      <w:r w:rsidR="004554F9">
        <w:t xml:space="preserve">asserts that by the respondent collecting personal information from her indirectly through inferences made about her via Phai, the respondent contravened </w:t>
      </w:r>
      <w:r>
        <w:t xml:space="preserve">IPP </w:t>
      </w:r>
      <w:r w:rsidR="004554F9">
        <w:t>1.4.</w:t>
      </w:r>
    </w:p>
    <w:p w14:paraId="05554863" w14:textId="5EB2452C" w:rsidR="004554F9" w:rsidRDefault="004554F9" w:rsidP="00300580">
      <w:pPr>
        <w:pStyle w:val="Para1"/>
        <w:tabs>
          <w:tab w:val="clear" w:pos="709"/>
        </w:tabs>
        <w:ind w:left="567"/>
      </w:pPr>
      <w:r>
        <w:t xml:space="preserve">The respondent submitted this claim </w:t>
      </w:r>
      <w:r w:rsidR="008A4A02">
        <w:t>wa</w:t>
      </w:r>
      <w:r>
        <w:t xml:space="preserve">s misconceived, in that the claim is in fact what </w:t>
      </w:r>
      <w:r w:rsidR="00023A8D">
        <w:t xml:space="preserve">had </w:t>
      </w:r>
      <w:r>
        <w:t xml:space="preserve">occurred. The only personal information collected, indeed the only personal information available to the </w:t>
      </w:r>
      <w:r w:rsidR="00EA642B">
        <w:t>respondent</w:t>
      </w:r>
      <w:r>
        <w:t xml:space="preserve">, came directly from the </w:t>
      </w:r>
      <w:r w:rsidR="00EA642B">
        <w:t>complainant</w:t>
      </w:r>
      <w:r>
        <w:t xml:space="preserve">. The collection point of that information was singular; from the </w:t>
      </w:r>
      <w:r w:rsidR="00EA642B">
        <w:t>complainant</w:t>
      </w:r>
      <w:r>
        <w:t xml:space="preserve">, by way of answers given in the application process, or material provided in support of that application. That information may have formed the basis for an inference to be drawn, but the inference is not the information itself. As a matter of law, IPP 1.4 does not operate as alleged in the </w:t>
      </w:r>
      <w:r w:rsidR="00EC52AF">
        <w:t xml:space="preserve">complainant’s </w:t>
      </w:r>
      <w:r>
        <w:t>claim.</w:t>
      </w:r>
    </w:p>
    <w:p w14:paraId="4115BA41" w14:textId="5766B717" w:rsidR="00CD6B84" w:rsidRDefault="004554F9" w:rsidP="00300580">
      <w:pPr>
        <w:pStyle w:val="Para1"/>
        <w:tabs>
          <w:tab w:val="clear" w:pos="709"/>
        </w:tabs>
        <w:ind w:left="567"/>
      </w:pPr>
      <w:r>
        <w:lastRenderedPageBreak/>
        <w:t xml:space="preserve">The </w:t>
      </w:r>
      <w:r w:rsidR="00023A8D">
        <w:t xml:space="preserve">complainant </w:t>
      </w:r>
      <w:r>
        <w:t xml:space="preserve">submitted the personal information </w:t>
      </w:r>
      <w:r w:rsidR="00CE1552">
        <w:t>was the</w:t>
      </w:r>
      <w:r>
        <w:t xml:space="preserve"> opinion about </w:t>
      </w:r>
      <w:r w:rsidR="00275046">
        <w:t>the</w:t>
      </w:r>
      <w:r>
        <w:t xml:space="preserve"> candidate produce</w:t>
      </w:r>
      <w:r w:rsidR="00241E1F">
        <w:t>d</w:t>
      </w:r>
      <w:r>
        <w:t xml:space="preserve"> by the PredictiveHire algorithm </w:t>
      </w:r>
      <w:r w:rsidR="00525088">
        <w:t>(</w:t>
      </w:r>
      <w:r w:rsidR="006E29A7">
        <w:t>in the</w:t>
      </w:r>
      <w:r>
        <w:t xml:space="preserve"> ‘employer report’). The respondent</w:t>
      </w:r>
      <w:r w:rsidR="00241E1F">
        <w:t>’s</w:t>
      </w:r>
      <w:r>
        <w:t xml:space="preserve"> </w:t>
      </w:r>
      <w:r w:rsidR="00023A8D">
        <w:t>‘</w:t>
      </w:r>
      <w:r>
        <w:t>Digital Jobs – program overview</w:t>
      </w:r>
      <w:r w:rsidR="00023A8D">
        <w:t>’</w:t>
      </w:r>
      <w:r w:rsidR="00241E1F">
        <w:t xml:space="preserve"> document</w:t>
      </w:r>
      <w:r>
        <w:t xml:space="preserve"> </w:t>
      </w:r>
      <w:r w:rsidR="00525088">
        <w:t>indicate</w:t>
      </w:r>
      <w:r w:rsidR="00241E1F">
        <w:t>d</w:t>
      </w:r>
      <w:r w:rsidR="00525088">
        <w:t xml:space="preserve"> the PredictiveHire AI tool assessed candidates’ employability through inferring insights from </w:t>
      </w:r>
      <w:r w:rsidR="00275046">
        <w:t xml:space="preserve">the </w:t>
      </w:r>
      <w:r w:rsidR="00525088">
        <w:t xml:space="preserve">250+ words of text written by the candidate. The </w:t>
      </w:r>
      <w:r w:rsidR="00023A8D">
        <w:t xml:space="preserve">complainant </w:t>
      </w:r>
      <w:r w:rsidR="00525088">
        <w:t>raised concerns about the accuracy of the insights, and submitted that should the respondent want to gain insights about a candidate</w:t>
      </w:r>
      <w:r w:rsidR="00087F7D">
        <w:t>’</w:t>
      </w:r>
      <w:r w:rsidR="00525088">
        <w:t>s employability, the information could have been obtained from the candidate</w:t>
      </w:r>
      <w:r w:rsidR="00087F7D">
        <w:t>’</w:t>
      </w:r>
      <w:r w:rsidR="00525088">
        <w:t>s resume and employment history.</w:t>
      </w:r>
    </w:p>
    <w:p w14:paraId="6981D52C" w14:textId="202EE1CE" w:rsidR="006E29A7" w:rsidRPr="00A41E17" w:rsidRDefault="006E29A7" w:rsidP="00461CC1">
      <w:pPr>
        <w:pStyle w:val="Heading3"/>
        <w:ind w:firstLine="567"/>
      </w:pPr>
      <w:r w:rsidRPr="00A41E17">
        <w:t>Assessment</w:t>
      </w:r>
    </w:p>
    <w:p w14:paraId="3789E2BA" w14:textId="011B02BA" w:rsidR="000163C1" w:rsidRDefault="006E29A7" w:rsidP="0029551D">
      <w:pPr>
        <w:pStyle w:val="Para1"/>
        <w:tabs>
          <w:tab w:val="clear" w:pos="709"/>
        </w:tabs>
        <w:ind w:left="567"/>
      </w:pPr>
      <w:r w:rsidRPr="000163C1">
        <w:t>Th</w:t>
      </w:r>
      <w:r w:rsidR="00E47746" w:rsidRPr="000163C1">
        <w:t>ere</w:t>
      </w:r>
      <w:r w:rsidRPr="000163C1">
        <w:t xml:space="preserve"> appears to be a dispute about the facts </w:t>
      </w:r>
      <w:r w:rsidR="00A41E17" w:rsidRPr="000163C1">
        <w:t xml:space="preserve">in this </w:t>
      </w:r>
      <w:r w:rsidR="00CE1552">
        <w:t>claim</w:t>
      </w:r>
      <w:r w:rsidR="00A41E17" w:rsidRPr="000163C1">
        <w:t xml:space="preserve">. </w:t>
      </w:r>
      <w:r w:rsidR="000338B3" w:rsidRPr="000163C1">
        <w:t>Did the respondent collect personal information about the respondent from</w:t>
      </w:r>
      <w:r w:rsidR="00A41E17" w:rsidRPr="000163C1">
        <w:t xml:space="preserve"> PredictiveHire? Was it reasonable and practicable for the respondent to collect that personal information about the individual directly from that individual</w:t>
      </w:r>
      <w:r w:rsidR="00023A8D">
        <w:t>?</w:t>
      </w:r>
      <w:r w:rsidR="00023A8D" w:rsidRPr="000163C1">
        <w:t xml:space="preserve"> </w:t>
      </w:r>
      <w:r w:rsidR="00A41E17" w:rsidRPr="000163C1">
        <w:t>Did a breach of IPP 1.4 occur?</w:t>
      </w:r>
      <w:r w:rsidR="0029551D">
        <w:t xml:space="preserve"> This </w:t>
      </w:r>
      <w:r w:rsidR="000163C1">
        <w:t xml:space="preserve">is for a hearing to decide. </w:t>
      </w:r>
    </w:p>
    <w:p w14:paraId="6E8A21D7" w14:textId="7FF23451" w:rsidR="00241E1F" w:rsidRDefault="00A41E17" w:rsidP="00461CC1">
      <w:pPr>
        <w:pStyle w:val="Para1"/>
        <w:tabs>
          <w:tab w:val="clear" w:pos="709"/>
        </w:tabs>
        <w:ind w:left="567"/>
      </w:pPr>
      <w:r>
        <w:t>On the material before me, I am not satisfied that the complaint in relation to breach of IPP 1.4 should be summarily dismissed or struck out.</w:t>
      </w:r>
    </w:p>
    <w:p w14:paraId="127554B8" w14:textId="1180F33D" w:rsidR="00241E1F" w:rsidRPr="00BE1A4A" w:rsidRDefault="00241E1F" w:rsidP="00461CC1">
      <w:pPr>
        <w:pStyle w:val="Heading2"/>
      </w:pPr>
      <w:r w:rsidRPr="00BE1A4A">
        <w:t>IPP 2.1</w:t>
      </w:r>
    </w:p>
    <w:p w14:paraId="4DAB99B6" w14:textId="09CE059C" w:rsidR="00241E1F" w:rsidRDefault="008A4A02" w:rsidP="00241E1F">
      <w:pPr>
        <w:pStyle w:val="Para1"/>
        <w:tabs>
          <w:tab w:val="clear" w:pos="709"/>
        </w:tabs>
        <w:ind w:left="567"/>
      </w:pPr>
      <w:r>
        <w:t>According to the complaint, t</w:t>
      </w:r>
      <w:r w:rsidR="00241E1F">
        <w:t xml:space="preserve">he </w:t>
      </w:r>
      <w:r w:rsidR="00023A8D">
        <w:t xml:space="preserve">complainant </w:t>
      </w:r>
      <w:r w:rsidR="00241E1F">
        <w:t xml:space="preserve">is concerned that the respondent inappropriately disclosed her personal information to various third parties throughout the recruitment process in contravention of IPP 2.1. </w:t>
      </w:r>
    </w:p>
    <w:p w14:paraId="2A40074B" w14:textId="3FB9E0A7" w:rsidR="00241E1F" w:rsidRDefault="00241E1F" w:rsidP="00241E1F">
      <w:pPr>
        <w:pStyle w:val="Para1"/>
        <w:tabs>
          <w:tab w:val="clear" w:pos="709"/>
        </w:tabs>
        <w:ind w:left="567"/>
      </w:pPr>
      <w:r>
        <w:t xml:space="preserve">Some of the </w:t>
      </w:r>
      <w:r w:rsidR="00023A8D">
        <w:t xml:space="preserve">complainant’s </w:t>
      </w:r>
      <w:r>
        <w:t xml:space="preserve">concerns include, but aren’t limited to: </w:t>
      </w:r>
    </w:p>
    <w:p w14:paraId="63257496" w14:textId="58EC3C3C" w:rsidR="00241E1F" w:rsidRDefault="00241E1F" w:rsidP="00023A8D">
      <w:pPr>
        <w:pStyle w:val="Para4"/>
        <w:numPr>
          <w:ilvl w:val="0"/>
          <w:numId w:val="27"/>
        </w:numPr>
      </w:pPr>
      <w:r>
        <w:t>Hudson sharing her contact information with QuestionPro</w:t>
      </w:r>
      <w:r w:rsidR="00023A8D">
        <w:t>;</w:t>
      </w:r>
    </w:p>
    <w:p w14:paraId="5853EB8F" w14:textId="79CFB444" w:rsidR="00241E1F" w:rsidRDefault="00241E1F" w:rsidP="00023A8D">
      <w:pPr>
        <w:pStyle w:val="Para4"/>
      </w:pPr>
      <w:r>
        <w:t>PredictiveHire sharing her personal information with potential internship providers</w:t>
      </w:r>
      <w:r w:rsidR="00023A8D">
        <w:t>; and</w:t>
      </w:r>
      <w:r>
        <w:t xml:space="preserve"> </w:t>
      </w:r>
    </w:p>
    <w:p w14:paraId="24867856" w14:textId="77777777" w:rsidR="00241E1F" w:rsidRDefault="00241E1F" w:rsidP="00023A8D">
      <w:pPr>
        <w:pStyle w:val="Para4"/>
      </w:pPr>
      <w:r>
        <w:t xml:space="preserve">PredictiveHire sharing her personal information with educational providers. </w:t>
      </w:r>
    </w:p>
    <w:p w14:paraId="3E3B66B3" w14:textId="6E629E9F" w:rsidR="00241E1F" w:rsidRDefault="00241E1F" w:rsidP="00241E1F">
      <w:pPr>
        <w:pStyle w:val="Para1"/>
        <w:tabs>
          <w:tab w:val="clear" w:pos="709"/>
        </w:tabs>
        <w:ind w:left="567"/>
      </w:pPr>
      <w:r>
        <w:t xml:space="preserve">The </w:t>
      </w:r>
      <w:r w:rsidR="00023A8D">
        <w:t>complainant</w:t>
      </w:r>
      <w:r w:rsidR="00023A8D" w:rsidRPr="00241E1F">
        <w:t xml:space="preserve"> </w:t>
      </w:r>
      <w:r w:rsidRPr="00241E1F">
        <w:t>also assert</w:t>
      </w:r>
      <w:r w:rsidR="006047F4">
        <w:t>ed</w:t>
      </w:r>
      <w:r w:rsidRPr="00241E1F">
        <w:t xml:space="preserve"> that her personal information was inappropriately used by the </w:t>
      </w:r>
      <w:r>
        <w:t>respondent</w:t>
      </w:r>
      <w:r w:rsidRPr="00241E1F">
        <w:t>, as her personal information was likely used by Phai for the purposes of machine learning</w:t>
      </w:r>
      <w:r>
        <w:t>.</w:t>
      </w:r>
    </w:p>
    <w:p w14:paraId="14871668" w14:textId="6CDD589F" w:rsidR="00F82017" w:rsidRDefault="00F82017" w:rsidP="00241E1F">
      <w:pPr>
        <w:pStyle w:val="Para1"/>
        <w:tabs>
          <w:tab w:val="clear" w:pos="709"/>
        </w:tabs>
        <w:ind w:left="567"/>
      </w:pPr>
      <w:r>
        <w:t xml:space="preserve">The respondent submitted the information was collected for the purpose of determining entry into the program. The entities identified in the complaint had contracted with, or were sub-contractors to, the </w:t>
      </w:r>
      <w:r w:rsidR="00674DB7">
        <w:t>respondent</w:t>
      </w:r>
      <w:r>
        <w:t xml:space="preserve">, for the purposes of determining the framework by which admission to the program could be attained. That was the primary purpose of those relationships, and the only purpose identified for which the information was used. As such, the claim does not identify a breach, but rather accurately identifies the pathways down which information flowed, so as to determine successful and unsuccessful candidates to the program. </w:t>
      </w:r>
    </w:p>
    <w:p w14:paraId="5FC3FF8D" w14:textId="7E3BCE4F" w:rsidR="00F82017" w:rsidRDefault="00F82017" w:rsidP="00241E1F">
      <w:pPr>
        <w:pStyle w:val="Para1"/>
        <w:tabs>
          <w:tab w:val="clear" w:pos="709"/>
        </w:tabs>
        <w:ind w:left="567"/>
      </w:pPr>
      <w:r>
        <w:t>Th</w:t>
      </w:r>
      <w:r w:rsidR="001042D4">
        <w:t>e claim that</w:t>
      </w:r>
      <w:r>
        <w:t xml:space="preserve"> the information may have been used for a collateral purpose, particularly machine learning, simply has no basis. The </w:t>
      </w:r>
      <w:r w:rsidR="00674DB7">
        <w:t xml:space="preserve">complainant </w:t>
      </w:r>
      <w:r>
        <w:t xml:space="preserve">again </w:t>
      </w:r>
      <w:r>
        <w:lastRenderedPageBreak/>
        <w:t xml:space="preserve">identifies a generalised concern as to how information may be used, and applies that concern to the current proceedings with no apparent basis upon which to do so. As such, the </w:t>
      </w:r>
      <w:r w:rsidR="00674DB7">
        <w:t xml:space="preserve">complainant </w:t>
      </w:r>
      <w:r>
        <w:t xml:space="preserve">once again reverses the onus of the </w:t>
      </w:r>
      <w:r w:rsidR="00674DB7">
        <w:t xml:space="preserve">application </w:t>
      </w:r>
      <w:r>
        <w:t xml:space="preserve">onto the </w:t>
      </w:r>
      <w:r w:rsidR="00674DB7">
        <w:t>respondent</w:t>
      </w:r>
      <w:r>
        <w:t>, requiring it to disprove an assertion the origin of which is completely unclear.</w:t>
      </w:r>
    </w:p>
    <w:p w14:paraId="73633272" w14:textId="4BCC1C23" w:rsidR="00F82017" w:rsidRDefault="00F82017" w:rsidP="00CE20AD">
      <w:pPr>
        <w:pStyle w:val="Para1"/>
        <w:tabs>
          <w:tab w:val="clear" w:pos="709"/>
        </w:tabs>
        <w:ind w:left="567"/>
      </w:pPr>
      <w:r>
        <w:t>In response</w:t>
      </w:r>
      <w:r w:rsidR="00674DB7">
        <w:t>,</w:t>
      </w:r>
      <w:r>
        <w:t xml:space="preserve"> the </w:t>
      </w:r>
      <w:r w:rsidR="00674DB7">
        <w:t xml:space="preserve">complainant </w:t>
      </w:r>
      <w:r>
        <w:t xml:space="preserve">submitted that at the time of collection of personal information in the Digital Jobs </w:t>
      </w:r>
      <w:r w:rsidR="00674DB7">
        <w:t>application</w:t>
      </w:r>
      <w:r>
        <w:t>, the collection notice did not specify which of her personal information w</w:t>
      </w:r>
      <w:r w:rsidR="00261E5D">
        <w:t>ould</w:t>
      </w:r>
      <w:r>
        <w:t xml:space="preserve"> be disclosed to which entities. </w:t>
      </w:r>
    </w:p>
    <w:p w14:paraId="28A6446F" w14:textId="6FC640EE" w:rsidR="00F82017" w:rsidRPr="00F82017" w:rsidRDefault="00F82017" w:rsidP="00CE20AD">
      <w:pPr>
        <w:pStyle w:val="Para1"/>
        <w:tabs>
          <w:tab w:val="clear" w:pos="709"/>
        </w:tabs>
        <w:ind w:left="567"/>
      </w:pPr>
      <w:r>
        <w:t>From the correspondence with PredictiveHire CEO</w:t>
      </w:r>
      <w:r w:rsidR="00674DB7">
        <w:t>,</w:t>
      </w:r>
      <w:r>
        <w:t xml:space="preserve"> the applicant found out that the following personal information was disclosed to PredictiveHire: </w:t>
      </w:r>
    </w:p>
    <w:p w14:paraId="7DA366EE" w14:textId="7060569C" w:rsidR="00F82017" w:rsidRPr="00674DB7" w:rsidRDefault="00674DB7" w:rsidP="00674DB7">
      <w:pPr>
        <w:pStyle w:val="Para4"/>
        <w:numPr>
          <w:ilvl w:val="0"/>
          <w:numId w:val="28"/>
        </w:numPr>
      </w:pPr>
      <w:r>
        <w:t>h</w:t>
      </w:r>
      <w:r w:rsidRPr="00674DB7">
        <w:t xml:space="preserve">er </w:t>
      </w:r>
      <w:r w:rsidR="00F82017" w:rsidRPr="00674DB7">
        <w:t>full name</w:t>
      </w:r>
      <w:r>
        <w:t>;</w:t>
      </w:r>
    </w:p>
    <w:p w14:paraId="7C11AF7C" w14:textId="3AE78E17" w:rsidR="00F82017" w:rsidRPr="00674DB7" w:rsidRDefault="00674DB7" w:rsidP="00674DB7">
      <w:pPr>
        <w:pStyle w:val="Para4"/>
      </w:pPr>
      <w:r>
        <w:t>h</w:t>
      </w:r>
      <w:r w:rsidRPr="00674DB7">
        <w:t xml:space="preserve">er </w:t>
      </w:r>
      <w:r w:rsidR="00F82017" w:rsidRPr="00674DB7">
        <w:t>email address</w:t>
      </w:r>
      <w:r>
        <w:t>; and</w:t>
      </w:r>
      <w:r w:rsidR="00F82017" w:rsidRPr="00674DB7">
        <w:t xml:space="preserve"> </w:t>
      </w:r>
    </w:p>
    <w:p w14:paraId="02793710" w14:textId="6042E617" w:rsidR="00F82017" w:rsidRPr="00674DB7" w:rsidRDefault="00674DB7" w:rsidP="00674DB7">
      <w:pPr>
        <w:pStyle w:val="Para4"/>
      </w:pPr>
      <w:r>
        <w:t>h</w:t>
      </w:r>
      <w:r w:rsidRPr="00674DB7">
        <w:t xml:space="preserve">er </w:t>
      </w:r>
      <w:r w:rsidR="00F82017" w:rsidRPr="00674DB7">
        <w:t>mobile phone number</w:t>
      </w:r>
      <w:r>
        <w:t>.</w:t>
      </w:r>
      <w:r w:rsidR="00F82017" w:rsidRPr="00674DB7">
        <w:t xml:space="preserve"> </w:t>
      </w:r>
    </w:p>
    <w:p w14:paraId="023CAEBB" w14:textId="0181E31D" w:rsidR="00F82017" w:rsidRDefault="00261E5D" w:rsidP="00F82017">
      <w:pPr>
        <w:pStyle w:val="Para1"/>
        <w:tabs>
          <w:tab w:val="clear" w:pos="709"/>
        </w:tabs>
        <w:ind w:left="567"/>
      </w:pPr>
      <w:r>
        <w:t xml:space="preserve">The </w:t>
      </w:r>
      <w:r w:rsidR="00674DB7">
        <w:t xml:space="preserve">complainant </w:t>
      </w:r>
      <w:r>
        <w:t xml:space="preserve">submitted that </w:t>
      </w:r>
      <w:r w:rsidR="00F82017">
        <w:t xml:space="preserve">PredictiveHire is a fully digital online interview tool. The company does not interact with candidates in any other way than digital. </w:t>
      </w:r>
      <w:r>
        <w:t>All</w:t>
      </w:r>
      <w:r w:rsidR="00F82017">
        <w:t xml:space="preserve"> her correspondence with PredictiveHire was via the email correspondence. Therefore, there </w:t>
      </w:r>
      <w:r>
        <w:t>wa</w:t>
      </w:r>
      <w:r w:rsidR="00F82017">
        <w:t xml:space="preserve">s no need for PredicitveHire to hold information about a candidate’s phone number. However, this information was disclosed to PredictiveHire without the respondent assessing whether the disclosure was necessary. </w:t>
      </w:r>
    </w:p>
    <w:p w14:paraId="7F6F5101" w14:textId="5652AD9E" w:rsidR="00F82017" w:rsidRDefault="00F82017" w:rsidP="00F82017">
      <w:pPr>
        <w:pStyle w:val="Para1"/>
        <w:tabs>
          <w:tab w:val="clear" w:pos="709"/>
        </w:tabs>
        <w:ind w:left="567"/>
      </w:pPr>
      <w:r>
        <w:t xml:space="preserve">The </w:t>
      </w:r>
      <w:r w:rsidR="00674DB7">
        <w:t xml:space="preserve">complainant </w:t>
      </w:r>
      <w:r>
        <w:t xml:space="preserve">referred to the Electronic Frontier Foundation report: </w:t>
      </w:r>
      <w:r w:rsidR="00674DB7">
        <w:t>‘</w:t>
      </w:r>
      <w:r>
        <w:t>Behind the One-Way Mirror: A Deep Dive Into the Technology of Corporate Surveillance</w:t>
      </w:r>
      <w:r w:rsidR="00674DB7">
        <w:t>’</w:t>
      </w:r>
      <w:r>
        <w:t>. In that report</w:t>
      </w:r>
      <w:r w:rsidR="00674DB7">
        <w:t>,</w:t>
      </w:r>
      <w:r>
        <w:t xml:space="preserve"> they explain how trackers tie data to people and what identifiers are being used. The report explains </w:t>
      </w:r>
      <w:r w:rsidR="001042D4">
        <w:t xml:space="preserve">the </w:t>
      </w:r>
      <w:r>
        <w:t xml:space="preserve">significance of a phone number as a unique and persistent identifier, and how the combination of identifiers is used to build profiles of real people. </w:t>
      </w:r>
      <w:r w:rsidR="00261E5D">
        <w:t>The applicant submitted that d</w:t>
      </w:r>
      <w:r>
        <w:t xml:space="preserve">isclosing a phone number without necessity to a third-party, especially in combination with other unique identifiers has potential to create significant privacy harms. Not only </w:t>
      </w:r>
      <w:r w:rsidR="00674DB7">
        <w:t xml:space="preserve">does this </w:t>
      </w:r>
      <w:r>
        <w:t xml:space="preserve">expose candidates’ personal information to data breaches, </w:t>
      </w:r>
      <w:r w:rsidR="00674DB7">
        <w:t xml:space="preserve">it </w:t>
      </w:r>
      <w:r w:rsidR="006047F4">
        <w:t xml:space="preserve">is </w:t>
      </w:r>
      <w:r w:rsidR="00674DB7">
        <w:t xml:space="preserve">also unable to </w:t>
      </w:r>
      <w:r w:rsidR="006047F4">
        <w:t xml:space="preserve">be </w:t>
      </w:r>
      <w:r>
        <w:t>guarantee</w:t>
      </w:r>
      <w:r w:rsidR="00674DB7">
        <w:t>d</w:t>
      </w:r>
      <w:r>
        <w:t xml:space="preserve"> that a commercial entity would not sell this information together with the candidates’ personality profiles to data brokers and other interested entities</w:t>
      </w:r>
      <w:r w:rsidR="00261E5D">
        <w:t>.</w:t>
      </w:r>
      <w:r>
        <w:t xml:space="preserve"> </w:t>
      </w:r>
    </w:p>
    <w:p w14:paraId="1C5A4957" w14:textId="4AE99DCE" w:rsidR="00B95A27" w:rsidRPr="00F229E1" w:rsidRDefault="00B95A27" w:rsidP="00461CC1">
      <w:pPr>
        <w:pStyle w:val="Heading3"/>
        <w:ind w:firstLine="567"/>
      </w:pPr>
      <w:r w:rsidRPr="00F229E1">
        <w:t>Assessment</w:t>
      </w:r>
    </w:p>
    <w:p w14:paraId="43E7DDB0" w14:textId="2AD60F78" w:rsidR="004D21B2" w:rsidRDefault="004D21B2" w:rsidP="00B95A27">
      <w:pPr>
        <w:pStyle w:val="Para1"/>
        <w:tabs>
          <w:tab w:val="clear" w:pos="709"/>
        </w:tabs>
        <w:ind w:left="567"/>
      </w:pPr>
      <w:r>
        <w:t>IPP 2.1 states that an organisation may only use or disclose personal information about an individual for the primary purpose it was collected for, or for one of the other purposes listed in IPP 2.1(a) –</w:t>
      </w:r>
      <w:r w:rsidR="00674DB7">
        <w:t xml:space="preserve"> </w:t>
      </w:r>
      <w:r>
        <w:t>(h).</w:t>
      </w:r>
    </w:p>
    <w:p w14:paraId="0B504C7E" w14:textId="35790183" w:rsidR="004D21B2" w:rsidRDefault="004D21B2" w:rsidP="00B95A27">
      <w:pPr>
        <w:pStyle w:val="Para1"/>
        <w:tabs>
          <w:tab w:val="clear" w:pos="709"/>
        </w:tabs>
        <w:ind w:left="567"/>
      </w:pPr>
      <w:r>
        <w:t xml:space="preserve">The </w:t>
      </w:r>
      <w:r w:rsidR="00674DB7">
        <w:t xml:space="preserve">complainant </w:t>
      </w:r>
      <w:r>
        <w:t xml:space="preserve">has clarified the issue in relation to the disclosure of her telephone number to a third party in the circumstances as described. The question as to whether that happened, and if such a disclosure was a breach </w:t>
      </w:r>
      <w:r>
        <w:lastRenderedPageBreak/>
        <w:t>of IPP 2.1, is an issue to be considered and concluded at a hearing of the evidence.</w:t>
      </w:r>
    </w:p>
    <w:p w14:paraId="7B70CB60" w14:textId="6770E58A" w:rsidR="004D21B2" w:rsidRDefault="004D21B2" w:rsidP="004D21B2">
      <w:pPr>
        <w:pStyle w:val="Para1"/>
        <w:tabs>
          <w:tab w:val="clear" w:pos="709"/>
        </w:tabs>
        <w:ind w:left="567"/>
      </w:pPr>
      <w:r>
        <w:t>On the material before me, I am not satisfied that the complaint in relation to breach of IPP 2.1 should be summarily dismissed or struck out.</w:t>
      </w:r>
    </w:p>
    <w:p w14:paraId="6EEF1A96" w14:textId="31946479" w:rsidR="00261E5D" w:rsidRPr="00BE1A4A" w:rsidRDefault="00261E5D" w:rsidP="00461CC1">
      <w:pPr>
        <w:pStyle w:val="Heading2"/>
      </w:pPr>
      <w:r w:rsidRPr="00BE1A4A">
        <w:t>IPP 3.1</w:t>
      </w:r>
    </w:p>
    <w:p w14:paraId="6621D809" w14:textId="77777777" w:rsidR="00261E5D" w:rsidRDefault="00261E5D" w:rsidP="00241E1F">
      <w:pPr>
        <w:pStyle w:val="Para1"/>
        <w:tabs>
          <w:tab w:val="clear" w:pos="709"/>
        </w:tabs>
        <w:ind w:left="567"/>
      </w:pPr>
      <w:r>
        <w:t xml:space="preserve">IPP 3.1 states that an organisation must take reasonable steps to ensure that the personal information it collects, uses, or discloses is accurate, complete and up to date. </w:t>
      </w:r>
    </w:p>
    <w:p w14:paraId="38418579" w14:textId="32E48E8E" w:rsidR="00261E5D" w:rsidRDefault="008A4A02" w:rsidP="00241E1F">
      <w:pPr>
        <w:pStyle w:val="Para1"/>
        <w:tabs>
          <w:tab w:val="clear" w:pos="709"/>
        </w:tabs>
        <w:ind w:left="567"/>
      </w:pPr>
      <w:r>
        <w:t>According to the complaint</w:t>
      </w:r>
      <w:r w:rsidR="00ED6319">
        <w:t>,</w:t>
      </w:r>
      <w:r>
        <w:t xml:space="preserve"> </w:t>
      </w:r>
      <w:r w:rsidR="00261E5D">
        <w:t xml:space="preserve">the </w:t>
      </w:r>
      <w:r w:rsidR="00674DB7">
        <w:t xml:space="preserve">complainant </w:t>
      </w:r>
      <w:r w:rsidR="00261E5D">
        <w:t xml:space="preserve">suspects that PredictiveHire’s assessment of her personality was inaccurate. Whilst she has not been able to access the report of PredictiveHire’s assessment of her, she notes that an email she received from PredictiveHire titled ‘Your Personality Results: Ekaterina’ made inferences about her personality which were not accurate. </w:t>
      </w:r>
    </w:p>
    <w:p w14:paraId="57D1D4E2" w14:textId="053DB601" w:rsidR="00261E5D" w:rsidRDefault="00261E5D" w:rsidP="00241E1F">
      <w:pPr>
        <w:pStyle w:val="Para1"/>
        <w:tabs>
          <w:tab w:val="clear" w:pos="709"/>
        </w:tabs>
        <w:ind w:left="567"/>
      </w:pPr>
      <w:r>
        <w:t xml:space="preserve">The </w:t>
      </w:r>
      <w:r w:rsidR="00674DB7">
        <w:t xml:space="preserve">complainant </w:t>
      </w:r>
      <w:r>
        <w:t xml:space="preserve">states that this email contained a coaching tip hinting that she lacks ability to listen to others and tends to overshare her thoughts and ideas out loud which can feel stressful for others. She also received recommendations to learn to listen, not to overshare ideas, and ask clarifying questions before making judgements. </w:t>
      </w:r>
    </w:p>
    <w:p w14:paraId="019A6B82" w14:textId="4FCE2E88" w:rsidR="00261E5D" w:rsidRDefault="00261E5D" w:rsidP="00241E1F">
      <w:pPr>
        <w:pStyle w:val="Para1"/>
        <w:tabs>
          <w:tab w:val="clear" w:pos="709"/>
        </w:tabs>
        <w:ind w:left="567"/>
      </w:pPr>
      <w:r>
        <w:t xml:space="preserve">The </w:t>
      </w:r>
      <w:r w:rsidR="00674DB7">
        <w:t xml:space="preserve">complainant </w:t>
      </w:r>
      <w:r>
        <w:t>disputes these inferences noting that she is an introvert who treasures her ability to listen to others</w:t>
      </w:r>
      <w:r w:rsidR="00ED6319">
        <w:t>,</w:t>
      </w:r>
      <w:r>
        <w:t xml:space="preserve"> and who tends to hold her thoughts and ideas </w:t>
      </w:r>
      <w:r w:rsidR="00674DB7">
        <w:t xml:space="preserve">until </w:t>
      </w:r>
      <w:r>
        <w:t>the right moment. She s</w:t>
      </w:r>
      <w:r w:rsidR="00ED6319">
        <w:t>tates</w:t>
      </w:r>
      <w:r>
        <w:t xml:space="preserve"> that she never speaks first unless taking initiative is necessary for the circumstances or until she is asked to speak. </w:t>
      </w:r>
    </w:p>
    <w:p w14:paraId="0A8E209C" w14:textId="33DC04E1" w:rsidR="00261E5D" w:rsidRDefault="00261E5D" w:rsidP="00241E1F">
      <w:pPr>
        <w:pStyle w:val="Para1"/>
        <w:tabs>
          <w:tab w:val="clear" w:pos="709"/>
        </w:tabs>
        <w:ind w:left="567"/>
      </w:pPr>
      <w:r>
        <w:t xml:space="preserve">The </w:t>
      </w:r>
      <w:r w:rsidR="00674DB7">
        <w:t xml:space="preserve">complainant </w:t>
      </w:r>
      <w:r>
        <w:t xml:space="preserve">further notes that the inferences about her were stated as though they were facts. She complains that the email did not contain any caveats to note that her personality results contained opinions only and that the opinions could be inaccurate. </w:t>
      </w:r>
    </w:p>
    <w:p w14:paraId="361E40B2" w14:textId="58F93EF4" w:rsidR="00017F00" w:rsidRDefault="00261E5D" w:rsidP="00241E1F">
      <w:pPr>
        <w:pStyle w:val="Para1"/>
        <w:tabs>
          <w:tab w:val="clear" w:pos="709"/>
        </w:tabs>
        <w:ind w:left="567"/>
      </w:pPr>
      <w:r>
        <w:t xml:space="preserve">The </w:t>
      </w:r>
      <w:r w:rsidR="00674DB7">
        <w:t xml:space="preserve">complainant </w:t>
      </w:r>
      <w:r>
        <w:t xml:space="preserve">therefore believes that the inferences made about her by Phai, which the respondent used to assess her application, are likely to have been inaccurate. She </w:t>
      </w:r>
      <w:r w:rsidR="001042D4">
        <w:t>claims</w:t>
      </w:r>
      <w:r>
        <w:t xml:space="preserve"> that the </w:t>
      </w:r>
      <w:r w:rsidR="00ED6319">
        <w:t>respondent</w:t>
      </w:r>
      <w:r>
        <w:t xml:space="preserve"> failed to take reasonable steps to ensure that the information it collected about her was accurate, complete and up to date because: </w:t>
      </w:r>
    </w:p>
    <w:p w14:paraId="64D23A10" w14:textId="759F09D0" w:rsidR="00017F00" w:rsidRDefault="00261E5D" w:rsidP="00674DB7">
      <w:pPr>
        <w:pStyle w:val="Para4"/>
        <w:numPr>
          <w:ilvl w:val="0"/>
          <w:numId w:val="29"/>
        </w:numPr>
      </w:pPr>
      <w:r>
        <w:t xml:space="preserve">there </w:t>
      </w:r>
      <w:r w:rsidR="001042D4">
        <w:t>wa</w:t>
      </w:r>
      <w:r>
        <w:t xml:space="preserve">s no evidence that the </w:t>
      </w:r>
      <w:r w:rsidR="00017F00">
        <w:t>respondent</w:t>
      </w:r>
      <w:r>
        <w:t xml:space="preserve"> took any steps to satisfy that Phai can accurately assess personality and upon what bas</w:t>
      </w:r>
      <w:r w:rsidR="001042D4">
        <w:t>i</w:t>
      </w:r>
      <w:r>
        <w:t xml:space="preserve">s; </w:t>
      </w:r>
      <w:r w:rsidR="00674DB7">
        <w:t>and</w:t>
      </w:r>
    </w:p>
    <w:p w14:paraId="40632CBC" w14:textId="629D0FAF" w:rsidR="00F82017" w:rsidRDefault="00261E5D" w:rsidP="00674DB7">
      <w:pPr>
        <w:pStyle w:val="Para4"/>
      </w:pPr>
      <w:r>
        <w:t xml:space="preserve">the Privacy Impact Assessment that the </w:t>
      </w:r>
      <w:r w:rsidR="00017F00">
        <w:t>respondent</w:t>
      </w:r>
      <w:r>
        <w:t xml:space="preserve"> undertook in relation to the </w:t>
      </w:r>
      <w:r w:rsidR="00ED6319">
        <w:t>p</w:t>
      </w:r>
      <w:r>
        <w:t>rogram demonstrates that it did not consider the risks that the inferences generated by Phai could be inaccurate or include any steps to mitigate this</w:t>
      </w:r>
      <w:r w:rsidR="00017F00">
        <w:t xml:space="preserve"> </w:t>
      </w:r>
      <w:r>
        <w:t>risk</w:t>
      </w:r>
      <w:r w:rsidR="00674DB7">
        <w:t>.</w:t>
      </w:r>
    </w:p>
    <w:p w14:paraId="7C881278" w14:textId="37AAFB57" w:rsidR="00F82017" w:rsidRDefault="00017F00" w:rsidP="00241E1F">
      <w:pPr>
        <w:pStyle w:val="Para1"/>
        <w:tabs>
          <w:tab w:val="clear" w:pos="709"/>
        </w:tabs>
        <w:ind w:left="567"/>
      </w:pPr>
      <w:r>
        <w:t xml:space="preserve">The respondent submitted that this complaint was misconceived. Inferences drawn by Phai from the information available to it are not the same as the information itself. Rather, the personal information that was collected came </w:t>
      </w:r>
      <w:r>
        <w:lastRenderedPageBreak/>
        <w:t xml:space="preserve">directly from the </w:t>
      </w:r>
      <w:r w:rsidR="00674DB7">
        <w:t>complainant</w:t>
      </w:r>
      <w:r>
        <w:t xml:space="preserve">. No other personal information gathering was undertaken. As such, the accuracy, completeness, and timeliness of that information is rightly in the hands of the </w:t>
      </w:r>
      <w:r w:rsidR="00674DB7">
        <w:t>complainant</w:t>
      </w:r>
      <w:r>
        <w:t xml:space="preserve">. In circumstances where the only information stems from the </w:t>
      </w:r>
      <w:r w:rsidR="00674DB7">
        <w:t>complainant</w:t>
      </w:r>
      <w:r>
        <w:t>, the respondent has satisfied the requirements of IPP 3.1 as a matter of fact and law, and the claim cannot be sustained.</w:t>
      </w:r>
    </w:p>
    <w:p w14:paraId="690FBFCA" w14:textId="77777777" w:rsidR="006047F4" w:rsidRDefault="00017F00" w:rsidP="00241E1F">
      <w:pPr>
        <w:pStyle w:val="Para1"/>
        <w:tabs>
          <w:tab w:val="clear" w:pos="709"/>
        </w:tabs>
        <w:ind w:left="567"/>
      </w:pPr>
      <w:r>
        <w:t xml:space="preserve">In </w:t>
      </w:r>
      <w:r w:rsidR="00531584">
        <w:t>response</w:t>
      </w:r>
      <w:r w:rsidR="00674DB7">
        <w:t>,</w:t>
      </w:r>
      <w:r>
        <w:t xml:space="preserve"> the </w:t>
      </w:r>
      <w:r w:rsidR="00674DB7">
        <w:t xml:space="preserve">complainant </w:t>
      </w:r>
      <w:r>
        <w:t xml:space="preserve">submitted that </w:t>
      </w:r>
      <w:r w:rsidR="00531584">
        <w:t>the</w:t>
      </w:r>
      <w:r>
        <w:t xml:space="preserve"> opinion about candidates’ personality that</w:t>
      </w:r>
      <w:r w:rsidR="001042D4">
        <w:t xml:space="preserve"> the</w:t>
      </w:r>
      <w:r>
        <w:t xml:space="preserve"> PredictiveHire tool produce</w:t>
      </w:r>
      <w:r w:rsidR="00531584">
        <w:t>d</w:t>
      </w:r>
      <w:r>
        <w:t xml:space="preserve"> </w:t>
      </w:r>
      <w:r w:rsidR="00531584">
        <w:t>wa</w:t>
      </w:r>
      <w:r>
        <w:t>s</w:t>
      </w:r>
      <w:r w:rsidR="00ED6319">
        <w:t xml:space="preserve"> personal information and was</w:t>
      </w:r>
      <w:r>
        <w:t xml:space="preserve"> inaccurate. </w:t>
      </w:r>
    </w:p>
    <w:p w14:paraId="1AB7C6A0" w14:textId="041EE6D6" w:rsidR="00017F00" w:rsidRDefault="00017F00" w:rsidP="0035346E">
      <w:pPr>
        <w:pStyle w:val="Para1"/>
        <w:tabs>
          <w:tab w:val="clear" w:pos="709"/>
        </w:tabs>
        <w:ind w:left="567"/>
      </w:pPr>
      <w:r>
        <w:t>According to PredictiveHire</w:t>
      </w:r>
      <w:r w:rsidR="00674DB7">
        <w:t>’s</w:t>
      </w:r>
      <w:r>
        <w:t xml:space="preserve"> research paper</w:t>
      </w:r>
      <w:r w:rsidR="00674DB7">
        <w:t>,</w:t>
      </w:r>
      <w:r>
        <w:t xml:space="preserve"> the model’s Pearson correlation coefficient r </w:t>
      </w:r>
      <w:r w:rsidR="00531584">
        <w:t>wa</w:t>
      </w:r>
      <w:r>
        <w:t>s 0.39. On the scale of strong – moderate – weak - no correlation</w:t>
      </w:r>
      <w:r w:rsidR="00674DB7">
        <w:t>,</w:t>
      </w:r>
      <w:r>
        <w:t xml:space="preserve"> r = 0.39 is in the </w:t>
      </w:r>
      <w:r w:rsidR="00674DB7">
        <w:t>‘</w:t>
      </w:r>
      <w:r>
        <w:t>weak</w:t>
      </w:r>
      <w:r w:rsidR="00674DB7">
        <w:t>’</w:t>
      </w:r>
      <w:r>
        <w:t xml:space="preserve"> zone. Weak or incorrect predictions are evidence</w:t>
      </w:r>
      <w:r w:rsidR="001042D4">
        <w:t>d</w:t>
      </w:r>
      <w:r>
        <w:t xml:space="preserve"> from </w:t>
      </w:r>
      <w:r w:rsidR="00531584">
        <w:t xml:space="preserve">the </w:t>
      </w:r>
      <w:r>
        <w:t>email that the applicant received from PredictiveHire</w:t>
      </w:r>
      <w:r w:rsidR="006047F4">
        <w:t xml:space="preserve">.  </w:t>
      </w:r>
      <w:r>
        <w:t>The applicant submitted that</w:t>
      </w:r>
      <w:r w:rsidR="00531584">
        <w:t xml:space="preserve"> </w:t>
      </w:r>
      <w:r>
        <w:t xml:space="preserve">this was an entirely inaccurate opinion of her personality, character and behaviour. </w:t>
      </w:r>
    </w:p>
    <w:p w14:paraId="6F606E68" w14:textId="54E9223B" w:rsidR="00F82017" w:rsidRDefault="00017F00" w:rsidP="00241E1F">
      <w:pPr>
        <w:pStyle w:val="Para1"/>
        <w:tabs>
          <w:tab w:val="clear" w:pos="709"/>
        </w:tabs>
        <w:ind w:left="567"/>
      </w:pPr>
      <w:r>
        <w:t>The applicant submitted that the respondent did not take reasonable steps to ensure that the personal information it collect</w:t>
      </w:r>
      <w:r w:rsidR="001042D4">
        <w:t>ed</w:t>
      </w:r>
      <w:r>
        <w:t>, use</w:t>
      </w:r>
      <w:r w:rsidR="001042D4">
        <w:t>d</w:t>
      </w:r>
      <w:r>
        <w:t>, or disclose</w:t>
      </w:r>
      <w:r w:rsidR="001042D4">
        <w:t>d</w:t>
      </w:r>
      <w:r>
        <w:t xml:space="preserve"> was accurate. She referred to extracts of the FOI Notice of Decision #5714 on </w:t>
      </w:r>
      <w:r w:rsidR="00046598">
        <w:t>7 September 2021</w:t>
      </w:r>
      <w:r w:rsidR="001D71C4">
        <w:t>:</w:t>
      </w:r>
    </w:p>
    <w:p w14:paraId="75BDB09B" w14:textId="79E3A84B" w:rsidR="001D71C4" w:rsidRDefault="001D71C4" w:rsidP="00046598">
      <w:pPr>
        <w:pStyle w:val="Quote1"/>
      </w:pPr>
      <w:r>
        <w:t>4) Privacy Impact Assessment of PresictiveHire</w:t>
      </w:r>
    </w:p>
    <w:p w14:paraId="5E4EF08C" w14:textId="5A602D87" w:rsidR="001D71C4" w:rsidRDefault="001D71C4" w:rsidP="00046598">
      <w:pPr>
        <w:pStyle w:val="Quote1"/>
      </w:pPr>
      <w:r>
        <w:t>As the Department does not have a contract with PredictiveHire, no assessment has been conducted or is required.</w:t>
      </w:r>
    </w:p>
    <w:p w14:paraId="41A237FD" w14:textId="1152F819" w:rsidR="001D71C4" w:rsidRDefault="001D71C4" w:rsidP="00046598">
      <w:pPr>
        <w:pStyle w:val="Quote1"/>
      </w:pPr>
      <w:r w:rsidRPr="006047F4">
        <w:t>5) Algorithmic</w:t>
      </w:r>
      <w:r>
        <w:t xml:space="preserve"> Impact Assessment containing assessment of PresictiveHire</w:t>
      </w:r>
    </w:p>
    <w:p w14:paraId="074ACEF0" w14:textId="3704956C" w:rsidR="001D71C4" w:rsidRDefault="001D71C4" w:rsidP="00046598">
      <w:pPr>
        <w:pStyle w:val="Quote1"/>
      </w:pPr>
      <w:r>
        <w:t>As the Department does not have a contract with PredictiveHire, no assessment has been conducted or is required.</w:t>
      </w:r>
    </w:p>
    <w:p w14:paraId="3F117B3E" w14:textId="6B03E5E2" w:rsidR="001D71C4" w:rsidRDefault="001D71C4" w:rsidP="00046598">
      <w:pPr>
        <w:pStyle w:val="Quote1"/>
      </w:pPr>
      <w:r w:rsidRPr="006047F4">
        <w:t xml:space="preserve">5) </w:t>
      </w:r>
      <w:r w:rsidR="001042D4" w:rsidRPr="006047F4">
        <w:t>(sic</w:t>
      </w:r>
      <w:r w:rsidR="001042D4">
        <w:t xml:space="preserve">) </w:t>
      </w:r>
      <w:r>
        <w:t>Alternatively, Risk and control metrics or other equivalent document where legal, ethic, bias, discrimination and other risks considered,</w:t>
      </w:r>
    </w:p>
    <w:p w14:paraId="7A2AC992" w14:textId="77777777" w:rsidR="001D71C4" w:rsidRDefault="001D71C4" w:rsidP="00046598">
      <w:pPr>
        <w:pStyle w:val="Quote1"/>
      </w:pPr>
      <w:r>
        <w:t>As the Department does not have a contract with PredictiveHire, no assessment has been conducted or is required.</w:t>
      </w:r>
    </w:p>
    <w:p w14:paraId="1DE9677B" w14:textId="7D9BEA96" w:rsidR="001D71C4" w:rsidRDefault="001D71C4" w:rsidP="00046598">
      <w:pPr>
        <w:pStyle w:val="Quote1"/>
      </w:pPr>
      <w:r>
        <w:t>6) Emails, minutes of meetings, other correspondence and documents related to PresictiveHire that contain discussions of features and risks of the PredictiveHire algorithm solution,</w:t>
      </w:r>
    </w:p>
    <w:p w14:paraId="1E339B79" w14:textId="0185562E" w:rsidR="001D71C4" w:rsidRDefault="001D71C4" w:rsidP="00046598">
      <w:pPr>
        <w:pStyle w:val="Quote1"/>
      </w:pPr>
      <w:r>
        <w:t xml:space="preserve">No </w:t>
      </w:r>
      <w:r w:rsidR="006047F4">
        <w:t>additional</w:t>
      </w:r>
      <w:r>
        <w:t xml:space="preserve"> documents were located relating to PredictiveHire.</w:t>
      </w:r>
    </w:p>
    <w:p w14:paraId="79711DF4" w14:textId="3FC75CFB" w:rsidR="00ED6319" w:rsidRPr="00ED6319" w:rsidRDefault="00ED6319" w:rsidP="00461CC1">
      <w:pPr>
        <w:pStyle w:val="Heading3"/>
        <w:ind w:firstLine="567"/>
      </w:pPr>
      <w:r w:rsidRPr="00ED6319">
        <w:t>Assessment</w:t>
      </w:r>
    </w:p>
    <w:p w14:paraId="6FF15336" w14:textId="7BD7ED9C" w:rsidR="00195DE5" w:rsidRDefault="00ED6319" w:rsidP="00ED6319">
      <w:pPr>
        <w:pStyle w:val="Para1"/>
        <w:tabs>
          <w:tab w:val="clear" w:pos="709"/>
        </w:tabs>
        <w:ind w:left="567"/>
      </w:pPr>
      <w:r>
        <w:t>I do not accept the submissions that this complaint is misconceived. There appears to be a dispute about facts</w:t>
      </w:r>
      <w:r w:rsidR="0035346E">
        <w:t xml:space="preserve"> in relation to this claim, including</w:t>
      </w:r>
      <w:r w:rsidR="00900CDB">
        <w:t xml:space="preserve"> a dispute about what personal information was collected, and</w:t>
      </w:r>
      <w:r w:rsidR="0035346E">
        <w:t xml:space="preserve"> whether the </w:t>
      </w:r>
      <w:r w:rsidR="00195DE5">
        <w:t>respondent t</w:t>
      </w:r>
      <w:r w:rsidR="0035346E">
        <w:t>ook</w:t>
      </w:r>
      <w:r w:rsidR="00195DE5">
        <w:t xml:space="preserve"> reasonable step</w:t>
      </w:r>
      <w:r w:rsidR="006047F4">
        <w:t>s</w:t>
      </w:r>
      <w:r w:rsidR="00195DE5">
        <w:t xml:space="preserve"> to ensure </w:t>
      </w:r>
      <w:r w:rsidR="0035346E">
        <w:t xml:space="preserve">the personal </w:t>
      </w:r>
      <w:r w:rsidR="00900CDB">
        <w:t>information</w:t>
      </w:r>
      <w:r w:rsidR="0035346E">
        <w:t xml:space="preserve"> it collected</w:t>
      </w:r>
      <w:r w:rsidR="00195DE5">
        <w:t xml:space="preserve"> </w:t>
      </w:r>
      <w:r w:rsidR="00900CDB">
        <w:t xml:space="preserve">and used </w:t>
      </w:r>
      <w:r w:rsidR="00195DE5">
        <w:t>was accurate, complete and up to date? Was there a breach of IPP 3.1?</w:t>
      </w:r>
    </w:p>
    <w:p w14:paraId="69F13A93" w14:textId="45967248" w:rsidR="00195DE5" w:rsidRDefault="00195DE5" w:rsidP="00195DE5">
      <w:pPr>
        <w:pStyle w:val="Para1"/>
        <w:tabs>
          <w:tab w:val="clear" w:pos="709"/>
        </w:tabs>
        <w:ind w:left="567"/>
      </w:pPr>
      <w:r>
        <w:lastRenderedPageBreak/>
        <w:t>This is a dispute to be considered and concluded at a hearing of the evidence.</w:t>
      </w:r>
    </w:p>
    <w:p w14:paraId="66610898" w14:textId="265A5688" w:rsidR="00195DE5" w:rsidRDefault="00195DE5" w:rsidP="00195DE5">
      <w:pPr>
        <w:pStyle w:val="Para1"/>
        <w:tabs>
          <w:tab w:val="clear" w:pos="709"/>
        </w:tabs>
        <w:ind w:left="567"/>
      </w:pPr>
      <w:r>
        <w:t>On the material before me, I am not satisfied that the complaint in relation to breach of IPP 3.1 should be summarily dismissed or struck out.</w:t>
      </w:r>
    </w:p>
    <w:p w14:paraId="486F715A" w14:textId="2922CE9C" w:rsidR="001D71C4" w:rsidRPr="00BE1A4A" w:rsidRDefault="001D71C4" w:rsidP="00461CC1">
      <w:pPr>
        <w:pStyle w:val="Heading2"/>
      </w:pPr>
      <w:r w:rsidRPr="00BE1A4A">
        <w:t>IPP5.1</w:t>
      </w:r>
    </w:p>
    <w:p w14:paraId="69AFCF0F" w14:textId="1F4C3559" w:rsidR="00F82017" w:rsidRDefault="008A4A02" w:rsidP="00241E1F">
      <w:pPr>
        <w:pStyle w:val="Para1"/>
        <w:tabs>
          <w:tab w:val="clear" w:pos="709"/>
        </w:tabs>
        <w:ind w:left="567"/>
      </w:pPr>
      <w:r>
        <w:t>According to the complaint</w:t>
      </w:r>
      <w:r w:rsidR="003217F2">
        <w:t>,</w:t>
      </w:r>
      <w:r>
        <w:t xml:space="preserve"> </w:t>
      </w:r>
      <w:r w:rsidR="001D71C4">
        <w:t xml:space="preserve">the </w:t>
      </w:r>
      <w:r w:rsidR="00046598">
        <w:t xml:space="preserve">complainant </w:t>
      </w:r>
      <w:r w:rsidR="001D71C4">
        <w:t>asserts that the respondent contravened IPP 5.1 as neither the respondent, Hudson, PredictiveHire, nor QuestionPro, had a clear privacy policy that referred to how they would handle her personal information in relation to the program.</w:t>
      </w:r>
    </w:p>
    <w:p w14:paraId="75D92D3D" w14:textId="05EAD8AB" w:rsidR="001D71C4" w:rsidRDefault="001D71C4" w:rsidP="00241E1F">
      <w:pPr>
        <w:pStyle w:val="Para1"/>
        <w:tabs>
          <w:tab w:val="clear" w:pos="709"/>
        </w:tabs>
        <w:ind w:left="567"/>
      </w:pPr>
      <w:r>
        <w:t xml:space="preserve">The respondent submitted that both the respondent and Hudson have privacy policies that were and are available to the </w:t>
      </w:r>
      <w:r w:rsidR="007D6D61">
        <w:t>complainant</w:t>
      </w:r>
      <w:r>
        <w:t xml:space="preserve">. The Hudson policy includes specific sections concerning the collection, use, and disclosure of personal information. The </w:t>
      </w:r>
      <w:r w:rsidR="007D6D61">
        <w:t xml:space="preserve">complainant </w:t>
      </w:r>
      <w:r>
        <w:t xml:space="preserve">has not identified any way in which the information used deviated from those policies. Moreover, the </w:t>
      </w:r>
      <w:r w:rsidR="007D6D61">
        <w:t xml:space="preserve">complainant </w:t>
      </w:r>
      <w:r>
        <w:t xml:space="preserve">has failed to identify any specific failings of those policies; rather, the claim asserts a general, ambiguous failing, leaving the </w:t>
      </w:r>
      <w:r w:rsidR="007D6D61">
        <w:t xml:space="preserve">respondent </w:t>
      </w:r>
      <w:r>
        <w:t xml:space="preserve">unable to determine what it is responding to. Whilst as a self-represented litigant, the </w:t>
      </w:r>
      <w:r w:rsidR="007D6D61">
        <w:t xml:space="preserve">applicant </w:t>
      </w:r>
      <w:r>
        <w:t xml:space="preserve">is not required to provide pleadings with the precision of a represented party, those pleadings must still leave the </w:t>
      </w:r>
      <w:r w:rsidR="007D6D61">
        <w:t xml:space="preserve">respondent </w:t>
      </w:r>
      <w:r>
        <w:t>with an understanding as to what has been alleged, and the capacity to respond to that allegation. A failure to do so makes such a pleading untenable</w:t>
      </w:r>
      <w:r w:rsidR="00F17F85">
        <w:t>.</w:t>
      </w:r>
    </w:p>
    <w:p w14:paraId="32AB9DE7" w14:textId="1FD4ABFB" w:rsidR="00F17F85" w:rsidRDefault="00F17F85" w:rsidP="00241E1F">
      <w:pPr>
        <w:pStyle w:val="Para1"/>
        <w:tabs>
          <w:tab w:val="clear" w:pos="709"/>
        </w:tabs>
        <w:ind w:left="567"/>
      </w:pPr>
      <w:r>
        <w:t>In response</w:t>
      </w:r>
      <w:r w:rsidR="007D6D61">
        <w:t>,</w:t>
      </w:r>
      <w:r>
        <w:t xml:space="preserve"> the applicant submitted that to her knowledge the program’s candidates’ personal information was shared with the following providers:</w:t>
      </w:r>
    </w:p>
    <w:p w14:paraId="5B568211" w14:textId="7CE9AE16" w:rsidR="00F17F85" w:rsidRDefault="00F17F85" w:rsidP="006B46B0">
      <w:pPr>
        <w:pStyle w:val="Para4"/>
        <w:numPr>
          <w:ilvl w:val="0"/>
          <w:numId w:val="31"/>
        </w:numPr>
      </w:pPr>
      <w:r>
        <w:t>Hudson</w:t>
      </w:r>
      <w:r w:rsidR="006B46B0">
        <w:t>;</w:t>
      </w:r>
      <w:r>
        <w:t xml:space="preserve"> </w:t>
      </w:r>
    </w:p>
    <w:p w14:paraId="4E6CEB92" w14:textId="29B49C37" w:rsidR="00F17F85" w:rsidRDefault="00F17F85" w:rsidP="006B46B0">
      <w:pPr>
        <w:pStyle w:val="Para4"/>
      </w:pPr>
      <w:r>
        <w:t>PredictiveHire</w:t>
      </w:r>
      <w:r w:rsidR="006B46B0">
        <w:t>;</w:t>
      </w:r>
      <w:r>
        <w:t xml:space="preserve"> </w:t>
      </w:r>
    </w:p>
    <w:p w14:paraId="6F23ED27" w14:textId="1D86CE85" w:rsidR="00F17F85" w:rsidRDefault="00F17F85" w:rsidP="006B46B0">
      <w:pPr>
        <w:pStyle w:val="Para4"/>
      </w:pPr>
      <w:r>
        <w:t>JobAdder</w:t>
      </w:r>
      <w:r w:rsidR="006B46B0">
        <w:t>;</w:t>
      </w:r>
    </w:p>
    <w:p w14:paraId="54CACDF4" w14:textId="2F23067B" w:rsidR="00F17F85" w:rsidRDefault="00F17F85" w:rsidP="006B46B0">
      <w:pPr>
        <w:pStyle w:val="Para4"/>
      </w:pPr>
      <w:r>
        <w:t>JobAccelerator</w:t>
      </w:r>
      <w:r w:rsidR="006B46B0">
        <w:t>;</w:t>
      </w:r>
      <w:r>
        <w:t xml:space="preserve"> </w:t>
      </w:r>
    </w:p>
    <w:p w14:paraId="12FDC4DD" w14:textId="14693C31" w:rsidR="00F17F85" w:rsidRDefault="00F17F85" w:rsidP="006B46B0">
      <w:pPr>
        <w:pStyle w:val="Para4"/>
      </w:pPr>
      <w:r>
        <w:t>GO1</w:t>
      </w:r>
      <w:r w:rsidR="006B46B0">
        <w:t>;</w:t>
      </w:r>
      <w:r>
        <w:t xml:space="preserve"> </w:t>
      </w:r>
    </w:p>
    <w:p w14:paraId="4A62A900" w14:textId="359D5189" w:rsidR="00F17F85" w:rsidRDefault="00F17F85" w:rsidP="006B46B0">
      <w:pPr>
        <w:pStyle w:val="Para4"/>
      </w:pPr>
      <w:r>
        <w:t>QuestionPro</w:t>
      </w:r>
      <w:r w:rsidR="006B46B0">
        <w:t>;</w:t>
      </w:r>
      <w:r>
        <w:t xml:space="preserve"> </w:t>
      </w:r>
      <w:r w:rsidR="006B46B0">
        <w:t>and</w:t>
      </w:r>
    </w:p>
    <w:p w14:paraId="2DD63DEF" w14:textId="506B17F6" w:rsidR="00F17F85" w:rsidRDefault="00F17F85" w:rsidP="006B46B0">
      <w:pPr>
        <w:pStyle w:val="Para4"/>
      </w:pPr>
      <w:r>
        <w:t>LiveHire</w:t>
      </w:r>
      <w:r w:rsidR="006B46B0">
        <w:t>;</w:t>
      </w:r>
      <w:r>
        <w:t xml:space="preserve"> </w:t>
      </w:r>
    </w:p>
    <w:p w14:paraId="55A0F3B1" w14:textId="57AD9936" w:rsidR="00F17F85" w:rsidRDefault="00F17F85" w:rsidP="00F17F85">
      <w:pPr>
        <w:pStyle w:val="Para1"/>
        <w:tabs>
          <w:tab w:val="clear" w:pos="709"/>
        </w:tabs>
        <w:ind w:left="567"/>
      </w:pPr>
      <w:r>
        <w:t xml:space="preserve">The </w:t>
      </w:r>
      <w:r w:rsidR="006B46B0">
        <w:t xml:space="preserve">complainant </w:t>
      </w:r>
      <w:r>
        <w:t xml:space="preserve">submitted that none of these providers, except for Hudson, were mentioned in the IPP 1.3 collection notice at the time of collection of personal information. </w:t>
      </w:r>
    </w:p>
    <w:p w14:paraId="3C15BEF3" w14:textId="3BDBB3BF" w:rsidR="00F17F85" w:rsidRDefault="00F17F85" w:rsidP="00F17F85">
      <w:pPr>
        <w:pStyle w:val="Para1"/>
        <w:tabs>
          <w:tab w:val="clear" w:pos="709"/>
        </w:tabs>
        <w:ind w:left="567"/>
      </w:pPr>
      <w:r>
        <w:t xml:space="preserve">The </w:t>
      </w:r>
      <w:r w:rsidR="00576A01">
        <w:t xml:space="preserve">complainant </w:t>
      </w:r>
      <w:r>
        <w:t xml:space="preserve">also submitted that there is also confusion about what policies on management of personal information apply in what circumstances. For example, when </w:t>
      </w:r>
      <w:r w:rsidR="00576A01">
        <w:t xml:space="preserve">the complainant could not </w:t>
      </w:r>
      <w:r>
        <w:t xml:space="preserve">find a link to the QuestionPro </w:t>
      </w:r>
      <w:r w:rsidR="00576A01">
        <w:t xml:space="preserve">privacy policy </w:t>
      </w:r>
      <w:r>
        <w:t>that would apply to participants that take surveys</w:t>
      </w:r>
      <w:r w:rsidR="00576A01">
        <w:t>,</w:t>
      </w:r>
      <w:r>
        <w:t xml:space="preserve"> she asked the Digital Jobs staff about how she could access it. She was told to use the Hudson’s </w:t>
      </w:r>
      <w:r w:rsidR="00576A01">
        <w:t>privacy policy</w:t>
      </w:r>
      <w:r>
        <w:t xml:space="preserve">. </w:t>
      </w:r>
    </w:p>
    <w:p w14:paraId="18C52927" w14:textId="365DBFDE" w:rsidR="00F47210" w:rsidRPr="00F47210" w:rsidRDefault="00F17F85" w:rsidP="004C31CB">
      <w:pPr>
        <w:pStyle w:val="Para1"/>
        <w:tabs>
          <w:tab w:val="clear" w:pos="709"/>
        </w:tabs>
        <w:ind w:left="567"/>
      </w:pPr>
      <w:r>
        <w:lastRenderedPageBreak/>
        <w:t xml:space="preserve">The </w:t>
      </w:r>
      <w:r w:rsidR="00576A01">
        <w:t xml:space="preserve">complainant </w:t>
      </w:r>
      <w:r>
        <w:t>submitted that IPP 5.1 requires that an organisation set out clearly expressed policies on its management of personal information. An umbrella privacy policy of a contracted service</w:t>
      </w:r>
      <w:r w:rsidR="00576A01">
        <w:t xml:space="preserve"> </w:t>
      </w:r>
      <w:r>
        <w:t xml:space="preserve">provider cannot cover the third party’s specifics of how the third party collects, uses and discloses personal information. Therefore, by sending </w:t>
      </w:r>
      <w:r w:rsidR="00576A01">
        <w:t xml:space="preserve">the complainant </w:t>
      </w:r>
      <w:r>
        <w:t xml:space="preserve">to the link to the Hudson </w:t>
      </w:r>
      <w:r w:rsidR="00576A01">
        <w:t xml:space="preserve">privacy policy </w:t>
      </w:r>
      <w:r>
        <w:t xml:space="preserve">when she asked for a policy of how QuestionPro handles personal information, the </w:t>
      </w:r>
      <w:r w:rsidR="00576A01">
        <w:t xml:space="preserve">respondent </w:t>
      </w:r>
      <w:r>
        <w:t>was in breach of IPP 5.1</w:t>
      </w:r>
      <w:r w:rsidR="00576A01">
        <w:t>.</w:t>
      </w:r>
    </w:p>
    <w:p w14:paraId="02753B08" w14:textId="2CD8EB3C" w:rsidR="00F47210" w:rsidRPr="00F47210" w:rsidRDefault="00F47210" w:rsidP="00461CC1">
      <w:pPr>
        <w:pStyle w:val="Heading3"/>
        <w:ind w:firstLine="567"/>
      </w:pPr>
      <w:r w:rsidRPr="00F47210">
        <w:t>Assessment</w:t>
      </w:r>
    </w:p>
    <w:p w14:paraId="66307D72" w14:textId="4159578C" w:rsidR="00F47210" w:rsidRDefault="00F47210" w:rsidP="00F47210">
      <w:pPr>
        <w:pStyle w:val="Para1"/>
        <w:tabs>
          <w:tab w:val="clear" w:pos="709"/>
        </w:tabs>
        <w:ind w:left="567"/>
      </w:pPr>
      <w:r>
        <w:t xml:space="preserve">IPP 5.1 states that an organisation must set out in a document clearly expressed policies on its management of personal information and that the organisation must make the document available to anyone who asks for this. </w:t>
      </w:r>
    </w:p>
    <w:p w14:paraId="1B806117" w14:textId="768B6939" w:rsidR="00F47210" w:rsidRDefault="004878BC" w:rsidP="00F47210">
      <w:pPr>
        <w:pStyle w:val="Para1"/>
        <w:tabs>
          <w:tab w:val="clear" w:pos="709"/>
        </w:tabs>
        <w:ind w:left="567"/>
      </w:pPr>
      <w:r>
        <w:t xml:space="preserve">While I accept the information provided by the </w:t>
      </w:r>
      <w:r w:rsidR="00576A01">
        <w:t xml:space="preserve">complainant </w:t>
      </w:r>
      <w:r>
        <w:t xml:space="preserve">contains numerous concerns about the existence and adequacy of policies of third parties, I note she has also clearly raised a complaint about the policy of the respondent, and whether the respondent has breached IPP 5.1. </w:t>
      </w:r>
    </w:p>
    <w:p w14:paraId="31F06AD0" w14:textId="5ADB9E4D" w:rsidR="00DE2873" w:rsidRDefault="00DE2873" w:rsidP="00DE2873">
      <w:pPr>
        <w:pStyle w:val="Para1"/>
        <w:tabs>
          <w:tab w:val="clear" w:pos="709"/>
        </w:tabs>
        <w:ind w:left="567"/>
      </w:pPr>
      <w:r>
        <w:t>On the material before me, I am not satisfied that the complaint in relation to breach of IPP 5.1 should be summarily dismissed or struck out.</w:t>
      </w:r>
    </w:p>
    <w:p w14:paraId="10C914BA" w14:textId="77777777" w:rsidR="00F17F85" w:rsidRPr="00203837" w:rsidRDefault="00F17F85" w:rsidP="00461CC1">
      <w:pPr>
        <w:pStyle w:val="Heading2"/>
      </w:pPr>
      <w:r w:rsidRPr="00203837">
        <w:t xml:space="preserve">IPP 6.1 </w:t>
      </w:r>
    </w:p>
    <w:p w14:paraId="188BA950" w14:textId="3AA86EFB" w:rsidR="00F17F85" w:rsidRDefault="008A4A02" w:rsidP="00F17F85">
      <w:pPr>
        <w:pStyle w:val="Para1"/>
        <w:tabs>
          <w:tab w:val="clear" w:pos="709"/>
        </w:tabs>
        <w:ind w:left="567"/>
      </w:pPr>
      <w:r>
        <w:t xml:space="preserve">According to the complaint, </w:t>
      </w:r>
      <w:r w:rsidR="00F17F85">
        <w:t xml:space="preserve">the </w:t>
      </w:r>
      <w:r w:rsidR="00576A01">
        <w:t xml:space="preserve">complainant </w:t>
      </w:r>
      <w:r w:rsidR="00F17F85">
        <w:t xml:space="preserve">asserts that the respondent contravened IPP 6.1. because it did not provide her with access to her personal information relating to the </w:t>
      </w:r>
      <w:r w:rsidR="00D01654">
        <w:t>p</w:t>
      </w:r>
      <w:r w:rsidR="00F17F85">
        <w:t>rogram upon her request.</w:t>
      </w:r>
    </w:p>
    <w:p w14:paraId="2156DEB4" w14:textId="3E776620" w:rsidR="00F17F85" w:rsidRPr="00A17F46" w:rsidRDefault="00F17F85" w:rsidP="00F17F85">
      <w:pPr>
        <w:pStyle w:val="Para1"/>
        <w:tabs>
          <w:tab w:val="clear" w:pos="709"/>
        </w:tabs>
        <w:ind w:left="567"/>
      </w:pPr>
      <w:r>
        <w:t xml:space="preserve">The respondent submitted that the </w:t>
      </w:r>
      <w:r w:rsidR="00576A01">
        <w:t xml:space="preserve">complainant </w:t>
      </w:r>
      <w:r>
        <w:t xml:space="preserve">is in possession of that information, as it came from the </w:t>
      </w:r>
      <w:r w:rsidR="00576A01">
        <w:t xml:space="preserve">complainant </w:t>
      </w:r>
      <w:r>
        <w:t xml:space="preserve">herself. There has been no generation of private information by the </w:t>
      </w:r>
      <w:r w:rsidR="00576A01">
        <w:t xml:space="preserve">respondent </w:t>
      </w:r>
      <w:r>
        <w:t xml:space="preserve">or a third party. Moreover, the </w:t>
      </w:r>
      <w:r w:rsidR="00576A01">
        <w:t xml:space="preserve">complainant </w:t>
      </w:r>
      <w:r>
        <w:t xml:space="preserve">has sought that information via a </w:t>
      </w:r>
      <w:r w:rsidR="00576A01">
        <w:t>FOI</w:t>
      </w:r>
      <w:r>
        <w:t xml:space="preserve"> request to the </w:t>
      </w:r>
      <w:r w:rsidR="00576A01">
        <w:t>respondent</w:t>
      </w:r>
      <w:r>
        <w:t xml:space="preserve">, which is still proceeding. This represents the correct legal process by which to obtain the information, given </w:t>
      </w:r>
      <w:r w:rsidRPr="00A17F46">
        <w:t xml:space="preserve">the exceptions to providing such information that exist within </w:t>
      </w:r>
      <w:r w:rsidR="00576A01">
        <w:t>IPP 6.1 (a) – (j),</w:t>
      </w:r>
      <w:r w:rsidRPr="00A17F46">
        <w:t xml:space="preserve"> and the need to determine whether any such exceptions apply. </w:t>
      </w:r>
    </w:p>
    <w:p w14:paraId="2E5DDC31" w14:textId="57A4AD01" w:rsidR="00F17F85" w:rsidRDefault="00F17F85" w:rsidP="00F17F85">
      <w:pPr>
        <w:pStyle w:val="Para1"/>
        <w:tabs>
          <w:tab w:val="clear" w:pos="709"/>
        </w:tabs>
        <w:ind w:left="567"/>
      </w:pPr>
      <w:r w:rsidRPr="00A17F46">
        <w:t xml:space="preserve">The </w:t>
      </w:r>
      <w:r w:rsidR="00943FC2">
        <w:t xml:space="preserve">respondent submitted the </w:t>
      </w:r>
      <w:r w:rsidRPr="00A17F46">
        <w:t>claim for that information in this proceeding is misconceived, as there has been no refusal to provide that information which would enliven IPP 6.1, and</w:t>
      </w:r>
      <w:r>
        <w:t xml:space="preserve"> the process by which that information may be accessed is ongoing.</w:t>
      </w:r>
    </w:p>
    <w:p w14:paraId="71F77E72" w14:textId="5B228A78" w:rsidR="00D01654" w:rsidRDefault="00D01654" w:rsidP="006047F4">
      <w:pPr>
        <w:pStyle w:val="Para1"/>
        <w:tabs>
          <w:tab w:val="clear" w:pos="709"/>
        </w:tabs>
        <w:ind w:left="567"/>
      </w:pPr>
      <w:r>
        <w:t xml:space="preserve">The </w:t>
      </w:r>
      <w:r w:rsidR="00576A01">
        <w:t xml:space="preserve">complainant </w:t>
      </w:r>
      <w:r>
        <w:t xml:space="preserve">submitted that through this complaint process that first involved communications with the </w:t>
      </w:r>
      <w:r w:rsidR="00DE2873">
        <w:t>respondent</w:t>
      </w:r>
      <w:r>
        <w:t>, then a privacy complaint with</w:t>
      </w:r>
      <w:r w:rsidR="00900CDB">
        <w:t xml:space="preserve"> the Office of the Victorian Information Commissioner</w:t>
      </w:r>
      <w:r w:rsidR="00F54D1A">
        <w:t xml:space="preserve"> (OVIC),</w:t>
      </w:r>
      <w:r>
        <w:t xml:space="preserve"> and now through the VCAT proceedings</w:t>
      </w:r>
      <w:r w:rsidR="00576A01">
        <w:t>,</w:t>
      </w:r>
      <w:r>
        <w:t xml:space="preserve"> </w:t>
      </w:r>
      <w:r w:rsidR="00DE2873">
        <w:t>she has been</w:t>
      </w:r>
      <w:r>
        <w:t xml:space="preserve"> asking </w:t>
      </w:r>
      <w:r w:rsidR="00C94465">
        <w:t xml:space="preserve">for </w:t>
      </w:r>
      <w:r w:rsidRPr="006047F4">
        <w:t>access to</w:t>
      </w:r>
      <w:r w:rsidR="006047F4" w:rsidRPr="006047F4">
        <w:t xml:space="preserve"> </w:t>
      </w:r>
      <w:r w:rsidR="00943FC2" w:rsidRPr="006047F4">
        <w:t>her</w:t>
      </w:r>
      <w:r w:rsidRPr="006047F4">
        <w:t xml:space="preserve"> personal</w:t>
      </w:r>
      <w:r>
        <w:t xml:space="preserve"> information</w:t>
      </w:r>
      <w:r w:rsidR="006047F4">
        <w:t>.</w:t>
      </w:r>
    </w:p>
    <w:p w14:paraId="2B972A5A" w14:textId="02C0B7F4" w:rsidR="00D01654" w:rsidRDefault="00D01654" w:rsidP="00D01654">
      <w:pPr>
        <w:pStyle w:val="Para1"/>
        <w:tabs>
          <w:tab w:val="clear" w:pos="709"/>
        </w:tabs>
        <w:ind w:left="567"/>
      </w:pPr>
      <w:r>
        <w:t xml:space="preserve">The personal information that she is referring to in this claim is the opinion, the inference that </w:t>
      </w:r>
      <w:r w:rsidR="00576A01">
        <w:t xml:space="preserve">the </w:t>
      </w:r>
      <w:r>
        <w:t xml:space="preserve">PredictiveHire AI recruitment algorithm made about </w:t>
      </w:r>
      <w:r w:rsidR="00DE2873">
        <w:t>her</w:t>
      </w:r>
      <w:r>
        <w:t xml:space="preserve"> personality (or employability), </w:t>
      </w:r>
      <w:r w:rsidR="00DE2873">
        <w:t xml:space="preserve">in the </w:t>
      </w:r>
      <w:r>
        <w:t xml:space="preserve">so called </w:t>
      </w:r>
      <w:r w:rsidR="00576A01">
        <w:t>‘</w:t>
      </w:r>
      <w:r>
        <w:t>employer report</w:t>
      </w:r>
      <w:r w:rsidR="00576A01">
        <w:t>’</w:t>
      </w:r>
      <w:r>
        <w:t xml:space="preserve">, on </w:t>
      </w:r>
      <w:r>
        <w:lastRenderedPageBreak/>
        <w:t xml:space="preserve">which the decision was made to progress her to the next stage of the program recruitment process. </w:t>
      </w:r>
    </w:p>
    <w:p w14:paraId="794E2DF1" w14:textId="3EC661C2" w:rsidR="00D01654" w:rsidRDefault="00D01654" w:rsidP="00D01654">
      <w:pPr>
        <w:pStyle w:val="Para1"/>
        <w:tabs>
          <w:tab w:val="clear" w:pos="709"/>
        </w:tabs>
        <w:ind w:left="567"/>
      </w:pPr>
      <w:r>
        <w:t xml:space="preserve">This information </w:t>
      </w:r>
      <w:r w:rsidR="00943FC2">
        <w:t>wa</w:t>
      </w:r>
      <w:r>
        <w:t xml:space="preserve">s not a part of the VCAT review proceedings Z646/2022, as the </w:t>
      </w:r>
      <w:r w:rsidR="00576A01">
        <w:t xml:space="preserve">respondent </w:t>
      </w:r>
      <w:r>
        <w:t xml:space="preserve">stated, due to that the Commissioner in its Decision C/22/00496 dated 27 June 2022 was </w:t>
      </w:r>
      <w:r w:rsidR="00576A01">
        <w:t>‘</w:t>
      </w:r>
      <w:r>
        <w:t xml:space="preserve">satisfied the </w:t>
      </w:r>
      <w:r w:rsidR="00576A01">
        <w:t xml:space="preserve">agency </w:t>
      </w:r>
      <w:r>
        <w:t xml:space="preserve">does not have constructive possession of a document of the type requested by the </w:t>
      </w:r>
      <w:r w:rsidR="00576A01">
        <w:t>applicant’</w:t>
      </w:r>
      <w:r>
        <w:t xml:space="preserve">. </w:t>
      </w:r>
    </w:p>
    <w:p w14:paraId="0E5AB8B5" w14:textId="2B8C04B0" w:rsidR="00D01654" w:rsidRDefault="00943FC2" w:rsidP="00D01654">
      <w:pPr>
        <w:pStyle w:val="Para1"/>
        <w:tabs>
          <w:tab w:val="clear" w:pos="709"/>
        </w:tabs>
        <w:ind w:left="567"/>
      </w:pPr>
      <w:r>
        <w:t>The complainant submitted that</w:t>
      </w:r>
      <w:r w:rsidR="00D01654">
        <w:t xml:space="preserve"> privacy legislation operates differently from the access to information legislation. Where the FOI legislation may satisfyingly conclude that the requested information is not in </w:t>
      </w:r>
      <w:r w:rsidR="00500E64">
        <w:t xml:space="preserve">the </w:t>
      </w:r>
      <w:r w:rsidR="00D01654">
        <w:t>physical possession of an agency and therefore the agency cannot provide access to this information, for the purpose of privacy legislation</w:t>
      </w:r>
      <w:r>
        <w:t>,</w:t>
      </w:r>
      <w:r w:rsidR="00D01654">
        <w:t xml:space="preserve"> the agency has wider powers to access the range of other documents that might have not been historically in the physical possession of the agency, but are residing with other entities. The FOI legislation is about giving access to a historical record</w:t>
      </w:r>
      <w:r w:rsidR="00500E64">
        <w:t xml:space="preserve">; </w:t>
      </w:r>
      <w:r w:rsidR="00D01654">
        <w:t>privacy legislation include</w:t>
      </w:r>
      <w:r w:rsidR="00DE2873">
        <w:t>s</w:t>
      </w:r>
      <w:r w:rsidR="00D01654">
        <w:t xml:space="preserve"> </w:t>
      </w:r>
      <w:r w:rsidR="00DE2873">
        <w:t>a</w:t>
      </w:r>
      <w:r w:rsidR="00D01654">
        <w:t xml:space="preserve"> wider number of documents that are in control of the agency, but not necessarily in </w:t>
      </w:r>
      <w:r w:rsidR="00500E64">
        <w:t xml:space="preserve">the </w:t>
      </w:r>
      <w:r w:rsidR="00D01654">
        <w:t>physical possession of the agency.</w:t>
      </w:r>
    </w:p>
    <w:p w14:paraId="5BFA7151" w14:textId="56414685" w:rsidR="00D01654" w:rsidRDefault="00D01654" w:rsidP="00F17F85">
      <w:pPr>
        <w:pStyle w:val="Para1"/>
        <w:tabs>
          <w:tab w:val="clear" w:pos="709"/>
        </w:tabs>
        <w:ind w:left="567"/>
      </w:pPr>
      <w:r>
        <w:t xml:space="preserve">The </w:t>
      </w:r>
      <w:r w:rsidR="00500E64">
        <w:t xml:space="preserve">complainant </w:t>
      </w:r>
      <w:r>
        <w:t>referred to OVIC’s clarification in regard to the above</w:t>
      </w:r>
      <w:r w:rsidR="00500E64">
        <w:t>::</w:t>
      </w:r>
    </w:p>
    <w:p w14:paraId="40E34FBB" w14:textId="77777777" w:rsidR="00203837" w:rsidRPr="00203837" w:rsidRDefault="00203837" w:rsidP="00500E64">
      <w:pPr>
        <w:pStyle w:val="Quote1"/>
      </w:pPr>
      <w:r w:rsidRPr="00203837">
        <w:t>When is information ‘held’ by an organisation?</w:t>
      </w:r>
    </w:p>
    <w:p w14:paraId="59CF3429" w14:textId="698230E6" w:rsidR="00203837" w:rsidRDefault="00203837" w:rsidP="00500E64">
      <w:pPr>
        <w:pStyle w:val="Quote1"/>
        <w:ind w:left="1701" w:hanging="567"/>
      </w:pPr>
      <w:r>
        <w:t>6.9</w:t>
      </w:r>
      <w:r w:rsidR="00500E64">
        <w:tab/>
      </w:r>
      <w:r w:rsidRPr="00203837">
        <w:t>An organisation is required to provide access to personal information it ‘holds’. Under s 4(1) of the PDP Act, an organisation holds personal information ‘if the information is contained in a document that is in the possession or under the control of the organisation, whether alone or jointly with other persons or bodies, irrespective of where the document is situated, whether in or outside Victoria.’ In an outsourcing context, this means IPP 6 can apply to the personal information ‘held’ by a CSP, if the outsourcing government organisation can ‘control’ that information.</w:t>
      </w:r>
      <w:r w:rsidR="00500E64">
        <w:rPr>
          <w:rStyle w:val="FootnoteReference"/>
        </w:rPr>
        <w:footnoteReference w:id="3"/>
      </w:r>
    </w:p>
    <w:p w14:paraId="784FB7D6" w14:textId="15D83103" w:rsidR="00D01654" w:rsidRDefault="00203837" w:rsidP="00F17F85">
      <w:pPr>
        <w:pStyle w:val="Para1"/>
        <w:tabs>
          <w:tab w:val="clear" w:pos="709"/>
        </w:tabs>
        <w:ind w:left="567"/>
      </w:pPr>
      <w:r>
        <w:t xml:space="preserve">The </w:t>
      </w:r>
      <w:r w:rsidR="00D1760C">
        <w:t xml:space="preserve">complainant </w:t>
      </w:r>
      <w:r>
        <w:t xml:space="preserve">submitted that </w:t>
      </w:r>
      <w:r w:rsidR="006047F4">
        <w:t xml:space="preserve">she has been </w:t>
      </w:r>
      <w:r>
        <w:t>denied access to this personal information.</w:t>
      </w:r>
    </w:p>
    <w:p w14:paraId="57D253A1" w14:textId="007CA95A" w:rsidR="00581C1B" w:rsidRPr="00581C1B" w:rsidRDefault="00581C1B" w:rsidP="00461CC1">
      <w:pPr>
        <w:pStyle w:val="Heading3"/>
        <w:ind w:firstLine="567"/>
      </w:pPr>
      <w:r w:rsidRPr="00581C1B">
        <w:t>Assessment</w:t>
      </w:r>
    </w:p>
    <w:p w14:paraId="5FA5BAE1" w14:textId="1F5537C3" w:rsidR="00581C1B" w:rsidRPr="00333C5A" w:rsidRDefault="00581C1B" w:rsidP="00333C5A">
      <w:pPr>
        <w:pStyle w:val="Para1"/>
        <w:tabs>
          <w:tab w:val="clear" w:pos="709"/>
        </w:tabs>
        <w:ind w:left="567"/>
      </w:pPr>
      <w:r w:rsidRPr="00333C5A">
        <w:t>IPP 6.1 states that an organisation who holds personal information about an individual must provide that individual with access to their information except where IPP 6.1(a) – (j) applies.</w:t>
      </w:r>
    </w:p>
    <w:p w14:paraId="16AAA0D0" w14:textId="5677102D" w:rsidR="00333C5A" w:rsidRDefault="00F54D1A" w:rsidP="00333C5A">
      <w:pPr>
        <w:pStyle w:val="Para1"/>
        <w:tabs>
          <w:tab w:val="clear" w:pos="709"/>
        </w:tabs>
        <w:ind w:left="567"/>
      </w:pPr>
      <w:r>
        <w:t>The above submissions indicate there is a dispute on the facts in relation to this claim. T</w:t>
      </w:r>
      <w:r w:rsidR="00333C5A">
        <w:t>he</w:t>
      </w:r>
      <w:r>
        <w:t>refore, the</w:t>
      </w:r>
      <w:r w:rsidR="00333C5A">
        <w:t xml:space="preserve"> claim that the respondent has breached IPP 6.1 is a matter to be considered and concluded at a hearing of the evidence.</w:t>
      </w:r>
    </w:p>
    <w:p w14:paraId="6AF9A9ED" w14:textId="5FB0648E" w:rsidR="00A17F46" w:rsidRDefault="00A17F46" w:rsidP="00A17F46">
      <w:pPr>
        <w:pStyle w:val="Para1"/>
        <w:tabs>
          <w:tab w:val="clear" w:pos="709"/>
        </w:tabs>
        <w:ind w:left="567"/>
      </w:pPr>
      <w:r>
        <w:t>On the material before me, I am not satisfied that the complaint in relation to breach of IPP 6.1 should be summarily dismissed or struck out.</w:t>
      </w:r>
    </w:p>
    <w:p w14:paraId="778147EA" w14:textId="28FCBBE3" w:rsidR="00307A4D" w:rsidRPr="00BE1A4A" w:rsidRDefault="00203837" w:rsidP="00461CC1">
      <w:pPr>
        <w:pStyle w:val="Heading2"/>
      </w:pPr>
      <w:r w:rsidRPr="00BE1A4A">
        <w:lastRenderedPageBreak/>
        <w:t xml:space="preserve">IPP 9.1 </w:t>
      </w:r>
    </w:p>
    <w:p w14:paraId="4632F513" w14:textId="268DDF99" w:rsidR="00203837" w:rsidRDefault="008A4A02" w:rsidP="00307A4D">
      <w:pPr>
        <w:pStyle w:val="Para1"/>
        <w:tabs>
          <w:tab w:val="clear" w:pos="709"/>
        </w:tabs>
        <w:ind w:left="567"/>
      </w:pPr>
      <w:r>
        <w:t xml:space="preserve">According to the complaint, </w:t>
      </w:r>
      <w:r w:rsidR="00307A4D">
        <w:t xml:space="preserve">the </w:t>
      </w:r>
      <w:r w:rsidR="00752CB4">
        <w:t xml:space="preserve">complainant </w:t>
      </w:r>
      <w:r w:rsidR="00203837">
        <w:t xml:space="preserve">is concerned that the </w:t>
      </w:r>
      <w:r w:rsidR="00307A4D">
        <w:t>respondent</w:t>
      </w:r>
      <w:r w:rsidR="00203837">
        <w:t xml:space="preserve"> </w:t>
      </w:r>
      <w:r w:rsidR="00A17F46">
        <w:t xml:space="preserve">breached IPP 9.1 by </w:t>
      </w:r>
      <w:r w:rsidR="00D55097">
        <w:t>transferring</w:t>
      </w:r>
      <w:r w:rsidR="00203837">
        <w:t xml:space="preserve"> her personal information outside of Victoria at various stages throughout the selection process. This include</w:t>
      </w:r>
      <w:r w:rsidR="00752CB4">
        <w:t>s</w:t>
      </w:r>
      <w:r w:rsidR="00203837">
        <w:t xml:space="preserve"> where her personal information was handled by Hudson, PredictiveHire and QuestionPro</w:t>
      </w:r>
      <w:r w:rsidR="00307A4D">
        <w:t>.</w:t>
      </w:r>
    </w:p>
    <w:p w14:paraId="159A7944" w14:textId="77777777" w:rsidR="00F54D1A" w:rsidRDefault="00307A4D" w:rsidP="00F17F85">
      <w:pPr>
        <w:pStyle w:val="Para1"/>
        <w:tabs>
          <w:tab w:val="clear" w:pos="709"/>
        </w:tabs>
        <w:ind w:left="567"/>
      </w:pPr>
      <w:r>
        <w:t xml:space="preserve">The respondent submitted that IPP 9.1(b) permits the transfer of information outside of Victoria where the individual about whom the information exists consents. </w:t>
      </w:r>
    </w:p>
    <w:p w14:paraId="3A9A88BE" w14:textId="0924A807" w:rsidR="00D01654" w:rsidRDefault="00307A4D" w:rsidP="00F17F85">
      <w:pPr>
        <w:pStyle w:val="Para1"/>
        <w:tabs>
          <w:tab w:val="clear" w:pos="709"/>
        </w:tabs>
        <w:ind w:left="567"/>
      </w:pPr>
      <w:r>
        <w:t xml:space="preserve">The </w:t>
      </w:r>
      <w:r w:rsidR="00F54D1A">
        <w:t xml:space="preserve">respondent submitted that the </w:t>
      </w:r>
      <w:r w:rsidR="00752CB4">
        <w:t xml:space="preserve">complainant </w:t>
      </w:r>
      <w:r>
        <w:t xml:space="preserve">provided such consent in the application process. By signing and/or agreeing to the various wavers in the program application process, the </w:t>
      </w:r>
      <w:r w:rsidR="00752CB4">
        <w:t xml:space="preserve">applicant </w:t>
      </w:r>
      <w:r>
        <w:t>consented to the transfer of such data, as articulated in the privacy policies of Hudson and PredictiveHire. No breach can arise unless an allegation is made either that such consent was not obtained, or that the consent contained was faulty, fraudulent, etc. In the absence of any such material or claim, the pleading is wrong in law.</w:t>
      </w:r>
    </w:p>
    <w:p w14:paraId="6E363019" w14:textId="5547C6DD" w:rsidR="00307A4D" w:rsidRDefault="00307A4D" w:rsidP="00F17F85">
      <w:pPr>
        <w:pStyle w:val="Para1"/>
        <w:tabs>
          <w:tab w:val="clear" w:pos="709"/>
        </w:tabs>
        <w:ind w:left="567"/>
      </w:pPr>
      <w:r>
        <w:t xml:space="preserve">The </w:t>
      </w:r>
      <w:r w:rsidR="00752CB4">
        <w:t xml:space="preserve">complainant </w:t>
      </w:r>
      <w:r>
        <w:t xml:space="preserve">submitted that the respondent cannot rely on her consent for the transfer of </w:t>
      </w:r>
      <w:r w:rsidR="00A17F46">
        <w:t>her</w:t>
      </w:r>
      <w:r>
        <w:t xml:space="preserve"> personal information as the consent was not valid.</w:t>
      </w:r>
    </w:p>
    <w:p w14:paraId="6904384F" w14:textId="7D224C48" w:rsidR="00307A4D" w:rsidRPr="00D55097" w:rsidRDefault="00307A4D" w:rsidP="00307A4D">
      <w:pPr>
        <w:pStyle w:val="Para1"/>
        <w:tabs>
          <w:tab w:val="clear" w:pos="709"/>
        </w:tabs>
        <w:ind w:left="567"/>
      </w:pPr>
      <w:r>
        <w:t xml:space="preserve">The </w:t>
      </w:r>
      <w:r w:rsidR="00752CB4">
        <w:t xml:space="preserve">complainant </w:t>
      </w:r>
      <w:r>
        <w:t xml:space="preserve">submitted that by clicking on the ‘I </w:t>
      </w:r>
      <w:r w:rsidR="00752CB4">
        <w:t xml:space="preserve">accept </w:t>
      </w:r>
      <w:r>
        <w:t>the privacy policy (Hudson)’ she had to consent to what she would deem the unlimited use and disclosure of her personal information including transborder transfer of her personal information to entities in China and other countries. That is because the Hudson’s privacy policy in her view was very broad and might not provide the relevant level of privacy protections guaranteed by the</w:t>
      </w:r>
      <w:r w:rsidR="00F54D1A">
        <w:t xml:space="preserve"> </w:t>
      </w:r>
      <w:r w:rsidR="00F54D1A" w:rsidRPr="00F54D1A">
        <w:rPr>
          <w:i/>
          <w:iCs/>
        </w:rPr>
        <w:t>Privacy and Data Protection Act</w:t>
      </w:r>
      <w:r w:rsidR="00F54D1A">
        <w:t xml:space="preserve"> 2014 (PDP Act)</w:t>
      </w:r>
      <w:r>
        <w:t xml:space="preserve">. She did not want to give her consent to many types of collection use and disclosure of her personal information, in particular to overseas transfers, without being sure that the proper safeguards </w:t>
      </w:r>
      <w:r w:rsidRPr="00D55097">
        <w:t>were in place. But giving consent was a condition of applying to the digital jobs program.</w:t>
      </w:r>
    </w:p>
    <w:p w14:paraId="448BCBD3" w14:textId="5174A1AB" w:rsidR="00307A4D" w:rsidRPr="00D55097" w:rsidRDefault="00307A4D" w:rsidP="00307A4D">
      <w:pPr>
        <w:pStyle w:val="Para1"/>
        <w:tabs>
          <w:tab w:val="clear" w:pos="709"/>
        </w:tabs>
        <w:ind w:left="567"/>
      </w:pPr>
      <w:r w:rsidRPr="00D55097">
        <w:t xml:space="preserve">The </w:t>
      </w:r>
      <w:r w:rsidR="00752CB4">
        <w:t>complainant</w:t>
      </w:r>
      <w:r w:rsidR="00752CB4" w:rsidRPr="00D55097">
        <w:t xml:space="preserve"> </w:t>
      </w:r>
      <w:r w:rsidR="00A17F46" w:rsidRPr="00D55097">
        <w:t>submits</w:t>
      </w:r>
      <w:r w:rsidRPr="00D55097">
        <w:t xml:space="preserve"> that the consent given was not valid as it was not informed, voluntary and specific.</w:t>
      </w:r>
    </w:p>
    <w:p w14:paraId="1D3CC165" w14:textId="27D55FB1" w:rsidR="00366B10" w:rsidRDefault="00366B10" w:rsidP="00F17F85">
      <w:pPr>
        <w:pStyle w:val="Para1"/>
        <w:tabs>
          <w:tab w:val="clear" w:pos="709"/>
        </w:tabs>
        <w:ind w:left="567"/>
      </w:pPr>
      <w:r w:rsidRPr="00D55097">
        <w:t xml:space="preserve">The applicant </w:t>
      </w:r>
      <w:r w:rsidR="00A17F46" w:rsidRPr="00D55097">
        <w:t xml:space="preserve">also </w:t>
      </w:r>
      <w:r w:rsidRPr="00D55097">
        <w:t>submitted</w:t>
      </w:r>
      <w:r>
        <w:t xml:space="preserve"> that </w:t>
      </w:r>
      <w:r w:rsidR="00752CB4">
        <w:t>‘wavers’</w:t>
      </w:r>
      <w:r>
        <w:t xml:space="preserve">, as the </w:t>
      </w:r>
      <w:r w:rsidR="00752CB4">
        <w:t xml:space="preserve">respondent </w:t>
      </w:r>
      <w:r>
        <w:t xml:space="preserve">called them, </w:t>
      </w:r>
      <w:r w:rsidR="00876F65">
        <w:t>are</w:t>
      </w:r>
      <w:r>
        <w:t xml:space="preserve"> not a recognised term of the </w:t>
      </w:r>
      <w:r w:rsidR="00752CB4">
        <w:t>PDP Act.</w:t>
      </w:r>
      <w:r>
        <w:t xml:space="preserve"> Signing and/or allegedly agreeing to </w:t>
      </w:r>
      <w:r w:rsidR="00752CB4">
        <w:t>‘</w:t>
      </w:r>
      <w:r>
        <w:t>wavers</w:t>
      </w:r>
      <w:r w:rsidR="00752CB4">
        <w:t>’</w:t>
      </w:r>
      <w:r>
        <w:t xml:space="preserve"> is not equivalent to consenting. </w:t>
      </w:r>
    </w:p>
    <w:p w14:paraId="080EBD9A" w14:textId="029824FF" w:rsidR="00366B10" w:rsidRDefault="00366B10" w:rsidP="00F17F85">
      <w:pPr>
        <w:pStyle w:val="Para1"/>
        <w:tabs>
          <w:tab w:val="clear" w:pos="709"/>
        </w:tabs>
        <w:ind w:left="567"/>
      </w:pPr>
      <w:r>
        <w:t xml:space="preserve">The </w:t>
      </w:r>
      <w:r w:rsidR="00752CB4">
        <w:t xml:space="preserve">complainant </w:t>
      </w:r>
      <w:r>
        <w:t>submitted that the respondent did not receive her consent.</w:t>
      </w:r>
    </w:p>
    <w:p w14:paraId="7F9307CB" w14:textId="4556941D" w:rsidR="003217F2" w:rsidRDefault="00366B10" w:rsidP="00D55097">
      <w:pPr>
        <w:pStyle w:val="Para1"/>
        <w:tabs>
          <w:tab w:val="clear" w:pos="709"/>
        </w:tabs>
        <w:ind w:left="567"/>
      </w:pPr>
      <w:r>
        <w:t xml:space="preserve">The </w:t>
      </w:r>
      <w:r w:rsidR="00752CB4">
        <w:t xml:space="preserve">complainant </w:t>
      </w:r>
      <w:r w:rsidR="00F54D1A">
        <w:t xml:space="preserve">also </w:t>
      </w:r>
      <w:r>
        <w:t xml:space="preserve">submitted that in the Digital Jobs Privacy Impact Assessment, the respondent only mentioned JobAdder and JobAccellerator as the platforms transferring personal information outside of Victoria, to </w:t>
      </w:r>
      <w:r w:rsidR="00752CB4">
        <w:t>New South Wales</w:t>
      </w:r>
      <w:r>
        <w:t xml:space="preserve">. There were no assessments done whether other providers were transferring candidates’ personal information outside of Victoria and whether all the transfers were consistent with requirements of IPP 9. </w:t>
      </w:r>
    </w:p>
    <w:p w14:paraId="4A00175B" w14:textId="506E0D30" w:rsidR="00D55097" w:rsidRPr="00D55097" w:rsidRDefault="00D55097" w:rsidP="00461CC1">
      <w:pPr>
        <w:pStyle w:val="Heading3"/>
        <w:ind w:firstLine="567"/>
      </w:pPr>
      <w:r w:rsidRPr="00D55097">
        <w:lastRenderedPageBreak/>
        <w:t>Assessment</w:t>
      </w:r>
    </w:p>
    <w:p w14:paraId="2F708169" w14:textId="34E60981" w:rsidR="00D55097" w:rsidRDefault="00D55097" w:rsidP="00D55097">
      <w:pPr>
        <w:pStyle w:val="Para1"/>
        <w:tabs>
          <w:tab w:val="clear" w:pos="709"/>
        </w:tabs>
        <w:ind w:left="567"/>
      </w:pPr>
      <w:r>
        <w:t xml:space="preserve">IPP 9.1 states that an organisation must not transfer personal information to someone who is outside of Victoria unless one of the exemptions in IPP 9.1(a) – (f) are satisfied. </w:t>
      </w:r>
    </w:p>
    <w:p w14:paraId="5D7B2698" w14:textId="150332B9" w:rsidR="00D55097" w:rsidRDefault="00D55097" w:rsidP="00D55097">
      <w:pPr>
        <w:pStyle w:val="Para1"/>
        <w:tabs>
          <w:tab w:val="clear" w:pos="709"/>
        </w:tabs>
        <w:ind w:left="567"/>
      </w:pPr>
      <w:r>
        <w:t>Th</w:t>
      </w:r>
      <w:r w:rsidR="00EB27CF">
        <w:t>ere</w:t>
      </w:r>
      <w:r>
        <w:t xml:space="preserve"> is a dispute on the facts</w:t>
      </w:r>
      <w:r w:rsidR="00EB27CF">
        <w:t xml:space="preserve"> in relation to this claim, including whether the complainant consented to the transfer of information, and if that consent was valid, and the status of the waivers referred to, and if the respondent breached IPP 9.1. This dispute</w:t>
      </w:r>
      <w:r>
        <w:t xml:space="preserve"> need</w:t>
      </w:r>
      <w:r w:rsidR="00EB27CF">
        <w:t>s</w:t>
      </w:r>
      <w:r>
        <w:t xml:space="preserve"> to be considered and concluded at a hearing of the evidence.</w:t>
      </w:r>
    </w:p>
    <w:p w14:paraId="06FC8F60" w14:textId="1AB0DFF3" w:rsidR="00D55097" w:rsidRDefault="00D55097" w:rsidP="00D55097">
      <w:pPr>
        <w:pStyle w:val="Para1"/>
        <w:tabs>
          <w:tab w:val="clear" w:pos="709"/>
        </w:tabs>
        <w:ind w:left="567"/>
      </w:pPr>
      <w:r>
        <w:t>On the material before me, I am not satisfied that the complaint in relation to breach of IPP 9.1 should be summarily dismissed or struck out.</w:t>
      </w:r>
    </w:p>
    <w:p w14:paraId="09121AED" w14:textId="77777777" w:rsidR="00366B10" w:rsidRPr="003217F2" w:rsidRDefault="00366B10" w:rsidP="00461CC1">
      <w:pPr>
        <w:pStyle w:val="Heading2"/>
      </w:pPr>
      <w:r w:rsidRPr="003217F2">
        <w:t xml:space="preserve">IPP 10.1 </w:t>
      </w:r>
    </w:p>
    <w:p w14:paraId="042DFCA3" w14:textId="78077B44" w:rsidR="00366B10" w:rsidRDefault="008A4A02" w:rsidP="00366B10">
      <w:pPr>
        <w:pStyle w:val="Para1"/>
        <w:tabs>
          <w:tab w:val="clear" w:pos="709"/>
        </w:tabs>
        <w:ind w:left="567"/>
      </w:pPr>
      <w:r>
        <w:t xml:space="preserve">According to the complaint, </w:t>
      </w:r>
      <w:r w:rsidR="00366B10">
        <w:t xml:space="preserve">the </w:t>
      </w:r>
      <w:r w:rsidR="00752CB4">
        <w:t xml:space="preserve">complainant </w:t>
      </w:r>
      <w:r w:rsidR="00366B10">
        <w:t>is concerned that sensitive information about her may have been collected by PredictiveHire. That</w:t>
      </w:r>
      <w:r w:rsidR="00366B10" w:rsidRPr="00366B10">
        <w:t xml:space="preserve"> </w:t>
      </w:r>
      <w:r w:rsidR="00366B10">
        <w:t>is, she believes that when Phai made inferences about her personality traits, these traits could be used as proxies to predict her political opinions and other sensitive information about her.</w:t>
      </w:r>
    </w:p>
    <w:p w14:paraId="24F494C1" w14:textId="5A3292F5" w:rsidR="00366B10" w:rsidRDefault="00366B10" w:rsidP="00366B10">
      <w:pPr>
        <w:pStyle w:val="Para1"/>
        <w:tabs>
          <w:tab w:val="clear" w:pos="709"/>
        </w:tabs>
        <w:ind w:left="567"/>
      </w:pPr>
      <w:r>
        <w:t xml:space="preserve">The respondent submitted that no basis for this claim exists; not on the materials available to the </w:t>
      </w:r>
      <w:r w:rsidR="00752CB4">
        <w:t xml:space="preserve">complainant </w:t>
      </w:r>
      <w:r>
        <w:t xml:space="preserve">during the application process, nor once she gained entry to the program, nor on materials existing collaterally to the claim. The </w:t>
      </w:r>
      <w:r w:rsidR="00752CB4">
        <w:t xml:space="preserve">complainant </w:t>
      </w:r>
      <w:r w:rsidR="00876F65">
        <w:t>wa</w:t>
      </w:r>
      <w:r>
        <w:t xml:space="preserve">s asking the </w:t>
      </w:r>
      <w:r w:rsidR="00752CB4">
        <w:t xml:space="preserve">respondent </w:t>
      </w:r>
      <w:r>
        <w:t>to disprove an allegation that simply has no basis on the facts of the dispute. As with the various previously identified assertions, such a pleading is wrong at law.</w:t>
      </w:r>
    </w:p>
    <w:p w14:paraId="4C9ACE14" w14:textId="196F53B8" w:rsidR="00366B10" w:rsidRDefault="00366B10" w:rsidP="00366B10">
      <w:pPr>
        <w:pStyle w:val="Para1"/>
        <w:tabs>
          <w:tab w:val="clear" w:pos="709"/>
        </w:tabs>
        <w:ind w:left="567"/>
      </w:pPr>
      <w:r>
        <w:t xml:space="preserve">The </w:t>
      </w:r>
      <w:r w:rsidR="00752CB4">
        <w:t xml:space="preserve">complainant </w:t>
      </w:r>
      <w:r>
        <w:t>submitted that the personal information she was referring to in this claim is the opinion, the inference that the PredictiveHire AI algorithm Phai made about her personality</w:t>
      </w:r>
      <w:r w:rsidR="00EA4DC3">
        <w:t xml:space="preserve"> and provided to the respondent</w:t>
      </w:r>
      <w:r>
        <w:t xml:space="preserve">. It was recorded in a form of an </w:t>
      </w:r>
      <w:r w:rsidR="00752CB4">
        <w:t>‘</w:t>
      </w:r>
      <w:r>
        <w:t>employer report</w:t>
      </w:r>
      <w:r w:rsidR="00752CB4">
        <w:t>’</w:t>
      </w:r>
      <w:r>
        <w:t xml:space="preserve">, access to which was denied. </w:t>
      </w:r>
    </w:p>
    <w:p w14:paraId="6E36F31F" w14:textId="0BC49253" w:rsidR="00366B10" w:rsidRDefault="00876F65" w:rsidP="00366B10">
      <w:pPr>
        <w:pStyle w:val="Para1"/>
        <w:tabs>
          <w:tab w:val="clear" w:pos="709"/>
        </w:tabs>
        <w:ind w:left="567"/>
      </w:pPr>
      <w:r>
        <w:t>The complainant submitted there</w:t>
      </w:r>
      <w:r w:rsidR="00366B10">
        <w:t xml:space="preserve"> is a body of research that shows that personality and political views are correlated, therefore an opinion about someone’s personality can be a proxy for their political opinions, which is sensitive personal information. </w:t>
      </w:r>
    </w:p>
    <w:p w14:paraId="385492EA" w14:textId="6B6D30DF" w:rsidR="00BE1A4A" w:rsidRDefault="00366B10" w:rsidP="00366B10">
      <w:pPr>
        <w:pStyle w:val="Para1"/>
        <w:tabs>
          <w:tab w:val="clear" w:pos="709"/>
        </w:tabs>
        <w:ind w:left="567"/>
      </w:pPr>
      <w:r>
        <w:t xml:space="preserve">The program collected information about candidates’ ethnic origin in the Digital Jobs </w:t>
      </w:r>
      <w:r w:rsidR="00752CB4">
        <w:t xml:space="preserve">application form </w:t>
      </w:r>
      <w:r>
        <w:t xml:space="preserve">and during the second personality assessment. No IPP 1.3 collection notices were provided on </w:t>
      </w:r>
      <w:r w:rsidR="00876F65">
        <w:t>either</w:t>
      </w:r>
      <w:r>
        <w:t xml:space="preserve"> occasion, </w:t>
      </w:r>
      <w:r w:rsidR="00752CB4">
        <w:t xml:space="preserve">and </w:t>
      </w:r>
      <w:r>
        <w:t xml:space="preserve">no valid consent for the collection was received. </w:t>
      </w:r>
    </w:p>
    <w:p w14:paraId="3BA2DAAF" w14:textId="56F8BF90" w:rsidR="00BE1A4A" w:rsidRDefault="00BE1A4A" w:rsidP="00366B10">
      <w:pPr>
        <w:pStyle w:val="Para1"/>
        <w:tabs>
          <w:tab w:val="clear" w:pos="709"/>
        </w:tabs>
        <w:ind w:left="567"/>
      </w:pPr>
      <w:r>
        <w:t xml:space="preserve">The </w:t>
      </w:r>
      <w:r w:rsidR="00752CB4">
        <w:t xml:space="preserve">complainant </w:t>
      </w:r>
      <w:r>
        <w:t>claims that</w:t>
      </w:r>
      <w:r w:rsidR="00366B10">
        <w:t xml:space="preserve"> the second personality assessment collection of the ethnic origin information was not justified by any of the exemptions </w:t>
      </w:r>
      <w:r w:rsidR="00D55097">
        <w:t>in</w:t>
      </w:r>
      <w:r w:rsidR="00366B10">
        <w:t xml:space="preserve"> IPP 10. </w:t>
      </w:r>
    </w:p>
    <w:p w14:paraId="342A150B" w14:textId="7C90575A" w:rsidR="00876F65" w:rsidRDefault="00876F65" w:rsidP="00461CC1">
      <w:pPr>
        <w:pStyle w:val="Para1"/>
        <w:numPr>
          <w:ilvl w:val="0"/>
          <w:numId w:val="0"/>
        </w:numPr>
        <w:ind w:left="567"/>
      </w:pPr>
      <w:r>
        <w:t>Collection of sensitive information: Criminal record, information about charges</w:t>
      </w:r>
    </w:p>
    <w:p w14:paraId="2418D336" w14:textId="6EEB3570" w:rsidR="00BE1A4A" w:rsidRDefault="00D55097" w:rsidP="00366B10">
      <w:pPr>
        <w:pStyle w:val="Para1"/>
        <w:tabs>
          <w:tab w:val="clear" w:pos="709"/>
        </w:tabs>
        <w:ind w:left="567"/>
      </w:pPr>
      <w:r>
        <w:lastRenderedPageBreak/>
        <w:t xml:space="preserve">The </w:t>
      </w:r>
      <w:r w:rsidR="00752CB4">
        <w:t xml:space="preserve">complainant </w:t>
      </w:r>
      <w:r>
        <w:t>claims that t</w:t>
      </w:r>
      <w:r w:rsidR="00366B10">
        <w:t xml:space="preserve">he program collected information about candidates’ charges and offences in the Digital Jobs </w:t>
      </w:r>
      <w:r w:rsidR="00752CB4">
        <w:t>application form</w:t>
      </w:r>
      <w:r w:rsidR="00366B10">
        <w:t>. No IPP 1.3 collection notice w</w:t>
      </w:r>
      <w:r w:rsidR="00876F65">
        <w:t>as</w:t>
      </w:r>
      <w:r w:rsidR="00366B10">
        <w:t xml:space="preserve"> provided on </w:t>
      </w:r>
      <w:r w:rsidR="00876F65">
        <w:t>either</w:t>
      </w:r>
      <w:r w:rsidR="00366B10">
        <w:t xml:space="preserve"> occasion, </w:t>
      </w:r>
      <w:r w:rsidR="00752CB4">
        <w:t xml:space="preserve">and </w:t>
      </w:r>
      <w:r w:rsidR="00366B10">
        <w:t>no valid</w:t>
      </w:r>
      <w:r w:rsidR="00BE1A4A" w:rsidRPr="00BE1A4A">
        <w:t xml:space="preserve"> </w:t>
      </w:r>
      <w:r w:rsidR="00BE1A4A">
        <w:t xml:space="preserve">consent for the collection was received. </w:t>
      </w:r>
    </w:p>
    <w:p w14:paraId="36A9EE8C" w14:textId="454D4330" w:rsidR="00366B10" w:rsidRDefault="00BE1A4A" w:rsidP="00366B10">
      <w:pPr>
        <w:pStyle w:val="Para1"/>
        <w:tabs>
          <w:tab w:val="clear" w:pos="709"/>
        </w:tabs>
        <w:ind w:left="567"/>
      </w:pPr>
      <w:r>
        <w:t xml:space="preserve">The </w:t>
      </w:r>
      <w:r w:rsidR="00752CB4">
        <w:t xml:space="preserve">complainant </w:t>
      </w:r>
      <w:r>
        <w:t xml:space="preserve">claims that collection of this sensitive information was not necessary as she found no documented evidence via FOI requests that the </w:t>
      </w:r>
      <w:r w:rsidR="00752CB4">
        <w:t xml:space="preserve">respondent </w:t>
      </w:r>
      <w:r>
        <w:t>carefully considered whether this sensitive information was necessary for the program functions.</w:t>
      </w:r>
    </w:p>
    <w:p w14:paraId="2800F49F" w14:textId="54FB6231" w:rsidR="00D01654" w:rsidRPr="00EA4DC3" w:rsidRDefault="00EA4DC3" w:rsidP="00461CC1">
      <w:pPr>
        <w:pStyle w:val="Heading3"/>
        <w:ind w:firstLine="567"/>
      </w:pPr>
      <w:r w:rsidRPr="00EA4DC3">
        <w:t>Assessment</w:t>
      </w:r>
    </w:p>
    <w:p w14:paraId="710B768C" w14:textId="77777777" w:rsidR="00EA4DC3" w:rsidRDefault="00EA4DC3" w:rsidP="00EA4DC3">
      <w:pPr>
        <w:pStyle w:val="Para1"/>
        <w:tabs>
          <w:tab w:val="clear" w:pos="709"/>
        </w:tabs>
        <w:ind w:left="567"/>
      </w:pPr>
      <w:r>
        <w:t xml:space="preserve">IPP 10.1 states that an organisation must not collect sensitive information about an individual unless one of the exemptions in IPP 10.1(a) – (d) are satisfied. </w:t>
      </w:r>
    </w:p>
    <w:p w14:paraId="7B2E7EEB" w14:textId="4017511F" w:rsidR="00EA4DC3" w:rsidRDefault="00EA4DC3" w:rsidP="00EA4DC3">
      <w:pPr>
        <w:pStyle w:val="Para1"/>
        <w:tabs>
          <w:tab w:val="clear" w:pos="709"/>
        </w:tabs>
        <w:ind w:left="567"/>
      </w:pPr>
      <w:r>
        <w:t>While I have considered the respondent</w:t>
      </w:r>
      <w:r w:rsidR="00752CB4">
        <w:t>’s</w:t>
      </w:r>
      <w:r>
        <w:t xml:space="preserve"> submissions in relation to this claim, the </w:t>
      </w:r>
      <w:r w:rsidR="00752CB4">
        <w:t xml:space="preserve">complainant </w:t>
      </w:r>
      <w:r>
        <w:t>has provided further details in relation to her claim that the respondent has breached IPP 10.1.</w:t>
      </w:r>
    </w:p>
    <w:p w14:paraId="4688E113" w14:textId="598FD88B" w:rsidR="00EA4DC3" w:rsidRDefault="00EA4DC3" w:rsidP="00660E38">
      <w:pPr>
        <w:pStyle w:val="Para1"/>
        <w:tabs>
          <w:tab w:val="clear" w:pos="709"/>
        </w:tabs>
        <w:ind w:left="567"/>
      </w:pPr>
      <w:r>
        <w:t xml:space="preserve">This is a dispute </w:t>
      </w:r>
      <w:r w:rsidR="00876F65">
        <w:t>that</w:t>
      </w:r>
      <w:r>
        <w:t xml:space="preserve"> needs to be considered and concluded at a hearing of the evidence.</w:t>
      </w:r>
    </w:p>
    <w:p w14:paraId="0C2F6687" w14:textId="26C3686B" w:rsidR="00EA4DC3" w:rsidRDefault="00EA4DC3" w:rsidP="00EA4DC3">
      <w:pPr>
        <w:pStyle w:val="Para1"/>
        <w:tabs>
          <w:tab w:val="clear" w:pos="709"/>
        </w:tabs>
        <w:ind w:left="567"/>
      </w:pPr>
      <w:r>
        <w:t>On the material before me, I am not satisfied that the complaint in relation to breach of IPP 10.1 should be summarily dismissed or struck out.</w:t>
      </w:r>
    </w:p>
    <w:p w14:paraId="2F3810E1" w14:textId="0DA68B85" w:rsidR="00457849" w:rsidRPr="00D66C6D" w:rsidRDefault="000F1C8E" w:rsidP="00457849">
      <w:pPr>
        <w:pStyle w:val="Heading2"/>
      </w:pPr>
      <w:r>
        <w:t>Conclusion</w:t>
      </w:r>
    </w:p>
    <w:p w14:paraId="14EC46AE" w14:textId="414F5CCB" w:rsidR="00457849" w:rsidRPr="003035B5" w:rsidRDefault="00457849" w:rsidP="00300580">
      <w:pPr>
        <w:pStyle w:val="Para1"/>
        <w:tabs>
          <w:tab w:val="clear" w:pos="709"/>
          <w:tab w:val="num" w:pos="567"/>
        </w:tabs>
        <w:ind w:left="567"/>
      </w:pPr>
      <w:r>
        <w:t>In these circumstances</w:t>
      </w:r>
      <w:r w:rsidR="00CD03CB">
        <w:t>,</w:t>
      </w:r>
      <w:r>
        <w:t xml:space="preserve"> it is not appropriate to dismiss the complaint. </w:t>
      </w:r>
      <w:r w:rsidR="007F6D39">
        <w:t>I am</w:t>
      </w:r>
      <w:r w:rsidRPr="003035B5">
        <w:t xml:space="preserve"> not of the opinion that all or part of the proceedings are frivolous, vexatious, misconceived or lacking in substance, or are otherwise an abuse of process.</w:t>
      </w:r>
    </w:p>
    <w:p w14:paraId="47604ADE" w14:textId="33AE56A9" w:rsidR="00457849" w:rsidRDefault="00457849" w:rsidP="00300580">
      <w:pPr>
        <w:pStyle w:val="Para1"/>
        <w:tabs>
          <w:tab w:val="clear" w:pos="709"/>
          <w:tab w:val="num" w:pos="567"/>
        </w:tabs>
        <w:ind w:left="567"/>
      </w:pPr>
      <w:r w:rsidRPr="003035B5">
        <w:t>Therefore</w:t>
      </w:r>
      <w:r>
        <w:t>,</w:t>
      </w:r>
      <w:r w:rsidRPr="003035B5">
        <w:t xml:space="preserve"> the application for summary dismissal under section 75</w:t>
      </w:r>
      <w:r>
        <w:t xml:space="preserve"> of the VCAT Act</w:t>
      </w:r>
      <w:r w:rsidRPr="003035B5">
        <w:t xml:space="preserve"> is refused.</w:t>
      </w:r>
    </w:p>
    <w:p w14:paraId="423F64DD" w14:textId="07D0D40B" w:rsidR="00573CB1" w:rsidRDefault="00573CB1" w:rsidP="00300580">
      <w:pPr>
        <w:pStyle w:val="Para1"/>
        <w:tabs>
          <w:tab w:val="clear" w:pos="709"/>
          <w:tab w:val="num" w:pos="567"/>
        </w:tabs>
        <w:ind w:left="567"/>
      </w:pPr>
      <w:r>
        <w:t xml:space="preserve">I will order the applicant now file and serve her particulars of claim and the respondent file and serve particulars of defence. </w:t>
      </w:r>
    </w:p>
    <w:p w14:paraId="5424EF54" w14:textId="043D3FE6" w:rsidR="00457849" w:rsidRPr="003035B5" w:rsidRDefault="00457849" w:rsidP="00300580">
      <w:pPr>
        <w:pStyle w:val="Para1"/>
        <w:tabs>
          <w:tab w:val="clear" w:pos="709"/>
          <w:tab w:val="num" w:pos="567"/>
        </w:tabs>
        <w:ind w:left="567"/>
      </w:pPr>
      <w:r>
        <w:t xml:space="preserve">The Tribunal will </w:t>
      </w:r>
      <w:r w:rsidR="00573CB1">
        <w:t xml:space="preserve">then </w:t>
      </w:r>
      <w:r>
        <w:t>set down a directions hearing to consider how the complaint will proceed.</w:t>
      </w:r>
    </w:p>
    <w:p w14:paraId="1DB5DB55" w14:textId="77777777" w:rsidR="00457849" w:rsidRDefault="00457849" w:rsidP="009B6420">
      <w:pPr>
        <w:jc w:val="both"/>
      </w:pPr>
    </w:p>
    <w:tbl>
      <w:tblPr>
        <w:tblW w:w="15311" w:type="dxa"/>
        <w:tblLayout w:type="fixed"/>
        <w:tblLook w:val="0000" w:firstRow="0" w:lastRow="0" w:firstColumn="0" w:lastColumn="0" w:noHBand="0" w:noVBand="0"/>
      </w:tblPr>
      <w:tblGrid>
        <w:gridCol w:w="8897"/>
        <w:gridCol w:w="3207"/>
        <w:gridCol w:w="3207"/>
      </w:tblGrid>
      <w:tr w:rsidR="00457849" w14:paraId="40F0AA1B" w14:textId="77777777" w:rsidTr="006055E1">
        <w:tc>
          <w:tcPr>
            <w:tcW w:w="8897" w:type="dxa"/>
          </w:tcPr>
          <w:p w14:paraId="64AC04F9" w14:textId="0D4CE160" w:rsidR="00457849" w:rsidRDefault="00457849" w:rsidP="006055E1">
            <w:pPr>
              <w:jc w:val="both"/>
            </w:pPr>
          </w:p>
          <w:p w14:paraId="3647AE08" w14:textId="1F38E7C2" w:rsidR="00457849" w:rsidRDefault="00457849" w:rsidP="006055E1">
            <w:pPr>
              <w:jc w:val="both"/>
            </w:pPr>
            <w:r>
              <w:t>C. Thwaites</w:t>
            </w:r>
          </w:p>
          <w:p w14:paraId="76EC401F" w14:textId="651FBAC4" w:rsidR="00457849" w:rsidRDefault="00457849" w:rsidP="006055E1">
            <w:pPr>
              <w:jc w:val="both"/>
              <w:rPr>
                <w:b/>
              </w:rPr>
            </w:pPr>
            <w:r>
              <w:rPr>
                <w:b/>
              </w:rPr>
              <w:t>Member</w:t>
            </w:r>
          </w:p>
        </w:tc>
        <w:tc>
          <w:tcPr>
            <w:tcW w:w="3207" w:type="dxa"/>
          </w:tcPr>
          <w:p w14:paraId="6064CF95" w14:textId="77777777" w:rsidR="00457849" w:rsidRDefault="00457849" w:rsidP="006055E1">
            <w:pPr>
              <w:ind w:left="2171"/>
              <w:jc w:val="both"/>
            </w:pPr>
          </w:p>
        </w:tc>
        <w:tc>
          <w:tcPr>
            <w:tcW w:w="3207" w:type="dxa"/>
          </w:tcPr>
          <w:p w14:paraId="167C7DBE" w14:textId="77777777" w:rsidR="00457849" w:rsidRDefault="00457849" w:rsidP="006055E1">
            <w:pPr>
              <w:jc w:val="both"/>
            </w:pPr>
          </w:p>
        </w:tc>
      </w:tr>
    </w:tbl>
    <w:p w14:paraId="53264EDC" w14:textId="77777777" w:rsidR="00457849" w:rsidRPr="009B6420" w:rsidRDefault="00457849" w:rsidP="009B6420"/>
    <w:sectPr w:rsidR="00457849" w:rsidRPr="009B6420" w:rsidSect="00457849">
      <w:footerReference w:type="default" r:id="rId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4F7A" w14:textId="77777777" w:rsidR="00457849" w:rsidRDefault="00457849">
      <w:r>
        <w:separator/>
      </w:r>
    </w:p>
  </w:endnote>
  <w:endnote w:type="continuationSeparator" w:id="0">
    <w:p w14:paraId="45B827EB" w14:textId="77777777" w:rsidR="00457849" w:rsidRDefault="0045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7F601B" w14:paraId="0AE571A9" w14:textId="77777777">
      <w:trPr>
        <w:cantSplit/>
      </w:trPr>
      <w:tc>
        <w:tcPr>
          <w:tcW w:w="3884" w:type="pct"/>
        </w:tcPr>
        <w:p w14:paraId="776C55E0" w14:textId="75228FC2" w:rsidR="007F601B" w:rsidRDefault="007F601B">
          <w:pPr>
            <w:pStyle w:val="Footer"/>
            <w:spacing w:beforeLines="60" w:before="144"/>
            <w:rPr>
              <w:rFonts w:cs="Arial"/>
              <w:sz w:val="18"/>
              <w:szCs w:val="18"/>
            </w:rPr>
          </w:pPr>
        </w:p>
      </w:tc>
      <w:tc>
        <w:tcPr>
          <w:tcW w:w="1116" w:type="pct"/>
        </w:tcPr>
        <w:p w14:paraId="12275B47"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704477">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704477">
            <w:rPr>
              <w:rFonts w:cs="Arial"/>
              <w:noProof/>
              <w:sz w:val="18"/>
              <w:szCs w:val="18"/>
            </w:rPr>
            <w:t>2</w:t>
          </w:r>
          <w:r>
            <w:rPr>
              <w:rFonts w:cs="Arial"/>
              <w:sz w:val="18"/>
              <w:szCs w:val="18"/>
            </w:rPr>
            <w:fldChar w:fldCharType="end"/>
          </w:r>
        </w:p>
      </w:tc>
    </w:tr>
  </w:tbl>
  <w:p w14:paraId="1F462315" w14:textId="77777777" w:rsidR="007F601B" w:rsidRDefault="007F601B">
    <w:pPr>
      <w:pStyle w:val="Footer"/>
      <w:rPr>
        <w:sz w:val="2"/>
      </w:rPr>
    </w:pPr>
  </w:p>
  <w:p w14:paraId="60BCA96E" w14:textId="77777777" w:rsidR="007F601B" w:rsidRDefault="007F601B">
    <w:pPr>
      <w:rPr>
        <w:sz w:val="2"/>
      </w:rPr>
    </w:pPr>
  </w:p>
  <w:p w14:paraId="40BCC1C5"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36BE" w14:textId="77777777" w:rsidR="00457849" w:rsidRDefault="00457849">
      <w:pPr>
        <w:pStyle w:val="Footer"/>
        <w:pBdr>
          <w:top w:val="single" w:sz="4" w:space="1" w:color="auto"/>
        </w:pBdr>
        <w:rPr>
          <w:sz w:val="12"/>
        </w:rPr>
      </w:pPr>
    </w:p>
  </w:footnote>
  <w:footnote w:type="continuationSeparator" w:id="0">
    <w:p w14:paraId="4DDA7643" w14:textId="77777777" w:rsidR="00457849" w:rsidRDefault="00457849">
      <w:r>
        <w:continuationSeparator/>
      </w:r>
    </w:p>
  </w:footnote>
  <w:footnote w:id="1">
    <w:p w14:paraId="1AB0AC7E" w14:textId="77777777" w:rsidR="00C0654D" w:rsidRDefault="00C0654D" w:rsidP="00C0654D">
      <w:pPr>
        <w:pStyle w:val="FootnoteText"/>
      </w:pPr>
      <w:r>
        <w:rPr>
          <w:rStyle w:val="FootnoteReference"/>
        </w:rPr>
        <w:footnoteRef/>
      </w:r>
      <w:r>
        <w:t xml:space="preserve"> </w:t>
      </w:r>
      <w:r>
        <w:tab/>
      </w:r>
      <w:r w:rsidRPr="00231FBB">
        <w:rPr>
          <w:i/>
          <w:iCs/>
        </w:rPr>
        <w:t xml:space="preserve">Owners Corporation No. 1 PS537642N v Hickory Group Pty Ltd </w:t>
      </w:r>
      <w:r>
        <w:t xml:space="preserve">[2015] VCAT 1638; </w:t>
      </w:r>
      <w:r w:rsidRPr="004D2271">
        <w:rPr>
          <w:i/>
          <w:iCs/>
        </w:rPr>
        <w:t>Axicom v Melton CC</w:t>
      </w:r>
      <w:r>
        <w:t xml:space="preserve"> [2020] VCAT 190 [9].</w:t>
      </w:r>
    </w:p>
  </w:footnote>
  <w:footnote w:id="2">
    <w:p w14:paraId="6CB13E2E" w14:textId="7B11632F" w:rsidR="0081475E" w:rsidRPr="00461CC1" w:rsidRDefault="0081475E" w:rsidP="00461CC1">
      <w:pPr>
        <w:pStyle w:val="Para1"/>
        <w:numPr>
          <w:ilvl w:val="0"/>
          <w:numId w:val="0"/>
        </w:numPr>
        <w:ind w:left="567" w:hanging="567"/>
        <w:rPr>
          <w:sz w:val="20"/>
          <w:szCs w:val="20"/>
        </w:rPr>
      </w:pPr>
      <w:r w:rsidRPr="00461CC1">
        <w:rPr>
          <w:rStyle w:val="FootnoteReference"/>
          <w:sz w:val="20"/>
          <w:szCs w:val="20"/>
        </w:rPr>
        <w:footnoteRef/>
      </w:r>
      <w:r w:rsidRPr="00461CC1">
        <w:rPr>
          <w:sz w:val="20"/>
          <w:szCs w:val="20"/>
        </w:rPr>
        <w:t xml:space="preserve"> </w:t>
      </w:r>
      <w:r w:rsidR="00A40BE7" w:rsidRPr="00461CC1">
        <w:rPr>
          <w:sz w:val="20"/>
          <w:szCs w:val="20"/>
        </w:rPr>
        <w:tab/>
      </w:r>
      <w:r w:rsidRPr="00573CB1">
        <w:rPr>
          <w:sz w:val="16"/>
          <w:szCs w:val="16"/>
        </w:rPr>
        <w:t xml:space="preserve">In his decision in </w:t>
      </w:r>
      <w:r w:rsidRPr="00573CB1">
        <w:rPr>
          <w:i/>
          <w:iCs/>
          <w:sz w:val="16"/>
          <w:szCs w:val="16"/>
        </w:rPr>
        <w:t>Al-Hakim v Arthur Robinson &amp; Hedderwicks and Anor</w:t>
      </w:r>
      <w:r w:rsidRPr="00573CB1">
        <w:rPr>
          <w:sz w:val="16"/>
          <w:szCs w:val="16"/>
        </w:rPr>
        <w:t xml:space="preserve"> [2011] VCAT 1767 (28 August 2001)</w:t>
      </w:r>
      <w:r w:rsidR="00A40BE7" w:rsidRPr="00573CB1">
        <w:rPr>
          <w:sz w:val="16"/>
          <w:szCs w:val="16"/>
        </w:rPr>
        <w:t>,</w:t>
      </w:r>
      <w:r w:rsidRPr="00573CB1">
        <w:rPr>
          <w:sz w:val="16"/>
          <w:szCs w:val="16"/>
        </w:rPr>
        <w:t xml:space="preserve"> Judge Duggan accepted the </w:t>
      </w:r>
      <w:r w:rsidR="00A40BE7" w:rsidRPr="00573CB1">
        <w:rPr>
          <w:sz w:val="16"/>
          <w:szCs w:val="16"/>
        </w:rPr>
        <w:t xml:space="preserve">complainant’s </w:t>
      </w:r>
      <w:r w:rsidRPr="00573CB1">
        <w:rPr>
          <w:sz w:val="16"/>
          <w:szCs w:val="16"/>
        </w:rPr>
        <w:t xml:space="preserve">principal motivation was a passionately held belief that he had been ill-treated and overlooked for positions for which he was the most qualified applicant, and </w:t>
      </w:r>
      <w:r w:rsidR="00A40BE7" w:rsidRPr="00573CB1">
        <w:rPr>
          <w:sz w:val="16"/>
          <w:szCs w:val="16"/>
        </w:rPr>
        <w:t xml:space="preserve">his Honour </w:t>
      </w:r>
      <w:r w:rsidRPr="00573CB1">
        <w:rPr>
          <w:sz w:val="16"/>
          <w:szCs w:val="16"/>
        </w:rPr>
        <w:t xml:space="preserve">was not satisfied the </w:t>
      </w:r>
      <w:r w:rsidR="00A40BE7" w:rsidRPr="00573CB1">
        <w:rPr>
          <w:sz w:val="16"/>
          <w:szCs w:val="16"/>
        </w:rPr>
        <w:t xml:space="preserve">complainant </w:t>
      </w:r>
      <w:r w:rsidRPr="00573CB1">
        <w:rPr>
          <w:sz w:val="16"/>
          <w:szCs w:val="16"/>
        </w:rPr>
        <w:t>wished to annoy or embarrass the respondents or that he had some collateral purpose.</w:t>
      </w:r>
    </w:p>
    <w:p w14:paraId="05DED4F4" w14:textId="66AB4B4B" w:rsidR="0081475E" w:rsidRDefault="0081475E">
      <w:pPr>
        <w:pStyle w:val="FootnoteText"/>
      </w:pPr>
    </w:p>
  </w:footnote>
  <w:footnote w:id="3">
    <w:p w14:paraId="429AC417" w14:textId="5607837C" w:rsidR="00500E64" w:rsidRPr="00500E64" w:rsidRDefault="00500E64">
      <w:pPr>
        <w:pStyle w:val="FootnoteText"/>
      </w:pPr>
      <w:r>
        <w:rPr>
          <w:rStyle w:val="FootnoteReference"/>
        </w:rPr>
        <w:footnoteRef/>
      </w:r>
      <w:r>
        <w:t xml:space="preserve"> </w:t>
      </w:r>
      <w:r>
        <w:tab/>
        <w:t xml:space="preserve">OVIC, </w:t>
      </w:r>
      <w:r>
        <w:rPr>
          <w:i/>
          <w:iCs/>
        </w:rPr>
        <w:t xml:space="preserve">IPP 6 – Access and Correction </w:t>
      </w:r>
      <w:r>
        <w:t>&lt;</w:t>
      </w:r>
      <w:r w:rsidRPr="00500E64">
        <w:t xml:space="preserve"> https://ovic.vic.gov.au/book/ipp-6-access-and-correction</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B07870C8"/>
    <w:lvl w:ilvl="0" w:tplc="587E2B14">
      <w:start w:val="1"/>
      <w:numFmt w:val="decimal"/>
      <w:pStyle w:val="Para1"/>
      <w:lvlText w:val="%1"/>
      <w:lvlJc w:val="left"/>
      <w:pPr>
        <w:tabs>
          <w:tab w:val="num" w:pos="709"/>
        </w:tabs>
        <w:ind w:left="709" w:hanging="567"/>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06CAD1D8"/>
    <w:lvl w:ilvl="0" w:tplc="F4C008C0">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107CFF"/>
    <w:multiLevelType w:val="hybridMultilevel"/>
    <w:tmpl w:val="F3F823F4"/>
    <w:lvl w:ilvl="0" w:tplc="C53637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2DF60B1"/>
    <w:multiLevelType w:val="singleLevel"/>
    <w:tmpl w:val="D52EC3D6"/>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9" w15:restartNumberingAfterBreak="0">
    <w:nsid w:val="54661CD1"/>
    <w:multiLevelType w:val="hybridMultilevel"/>
    <w:tmpl w:val="6B1CAB30"/>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 w15:restartNumberingAfterBreak="0">
    <w:nsid w:val="5A274BDE"/>
    <w:multiLevelType w:val="hybridMultilevel"/>
    <w:tmpl w:val="A2262960"/>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7279E"/>
    <w:multiLevelType w:val="hybridMultilevel"/>
    <w:tmpl w:val="F38E4506"/>
    <w:lvl w:ilvl="0" w:tplc="12B6285E">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1">
    <w:nsid w:val="72A33749"/>
    <w:multiLevelType w:val="hybridMultilevel"/>
    <w:tmpl w:val="6FEC490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972595320">
    <w:abstractNumId w:val="2"/>
  </w:num>
  <w:num w:numId="2" w16cid:durableId="1021779711">
    <w:abstractNumId w:val="7"/>
  </w:num>
  <w:num w:numId="3" w16cid:durableId="1106921920">
    <w:abstractNumId w:val="11"/>
  </w:num>
  <w:num w:numId="4" w16cid:durableId="746652509">
    <w:abstractNumId w:val="3"/>
  </w:num>
  <w:num w:numId="5" w16cid:durableId="1447458274">
    <w:abstractNumId w:val="4"/>
  </w:num>
  <w:num w:numId="6" w16cid:durableId="24328599">
    <w:abstractNumId w:val="6"/>
  </w:num>
  <w:num w:numId="7" w16cid:durableId="1551111375">
    <w:abstractNumId w:val="0"/>
  </w:num>
  <w:num w:numId="8" w16cid:durableId="1326203773">
    <w:abstractNumId w:val="5"/>
  </w:num>
  <w:num w:numId="9" w16cid:durableId="220217944">
    <w:abstractNumId w:val="1"/>
  </w:num>
  <w:num w:numId="10" w16cid:durableId="121503822">
    <w:abstractNumId w:val="9"/>
  </w:num>
  <w:num w:numId="11" w16cid:durableId="77024036">
    <w:abstractNumId w:val="10"/>
  </w:num>
  <w:num w:numId="12" w16cid:durableId="1190414996">
    <w:abstractNumId w:val="1"/>
  </w:num>
  <w:num w:numId="13" w16cid:durableId="1259212725">
    <w:abstractNumId w:val="1"/>
  </w:num>
  <w:num w:numId="14" w16cid:durableId="408574176">
    <w:abstractNumId w:val="1"/>
  </w:num>
  <w:num w:numId="15" w16cid:durableId="858011056">
    <w:abstractNumId w:val="1"/>
  </w:num>
  <w:num w:numId="16" w16cid:durableId="1122769950">
    <w:abstractNumId w:val="1"/>
  </w:num>
  <w:num w:numId="17" w16cid:durableId="1126200937">
    <w:abstractNumId w:val="1"/>
  </w:num>
  <w:num w:numId="18" w16cid:durableId="397166020">
    <w:abstractNumId w:val="1"/>
  </w:num>
  <w:num w:numId="19" w16cid:durableId="1504474723">
    <w:abstractNumId w:val="1"/>
  </w:num>
  <w:num w:numId="20" w16cid:durableId="1115566024">
    <w:abstractNumId w:val="1"/>
  </w:num>
  <w:num w:numId="21" w16cid:durableId="1743480833">
    <w:abstractNumId w:val="1"/>
  </w:num>
  <w:num w:numId="22" w16cid:durableId="99223370">
    <w:abstractNumId w:val="1"/>
  </w:num>
  <w:num w:numId="23" w16cid:durableId="635257369">
    <w:abstractNumId w:val="1"/>
  </w:num>
  <w:num w:numId="24" w16cid:durableId="1225720171">
    <w:abstractNumId w:val="1"/>
  </w:num>
  <w:num w:numId="25" w16cid:durableId="125857176">
    <w:abstractNumId w:val="1"/>
  </w:num>
  <w:num w:numId="26" w16cid:durableId="1915503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1487846">
    <w:abstractNumId w:val="2"/>
    <w:lvlOverride w:ilvl="0">
      <w:startOverride w:val="1"/>
    </w:lvlOverride>
  </w:num>
  <w:num w:numId="28" w16cid:durableId="1861888791">
    <w:abstractNumId w:val="2"/>
    <w:lvlOverride w:ilvl="0">
      <w:startOverride w:val="1"/>
    </w:lvlOverride>
  </w:num>
  <w:num w:numId="29" w16cid:durableId="990063807">
    <w:abstractNumId w:val="2"/>
    <w:lvlOverride w:ilvl="0">
      <w:startOverride w:val="1"/>
    </w:lvlOverride>
  </w:num>
  <w:num w:numId="30" w16cid:durableId="1014498076">
    <w:abstractNumId w:val="12"/>
  </w:num>
  <w:num w:numId="31" w16cid:durableId="473061909">
    <w:abstractNumId w:val="2"/>
    <w:lvlOverride w:ilvl="0">
      <w:startOverride w:val="1"/>
    </w:lvlOverride>
  </w:num>
  <w:num w:numId="32" w16cid:durableId="492768928">
    <w:abstractNumId w:val="1"/>
  </w:num>
  <w:num w:numId="33" w16cid:durableId="1518158420">
    <w:abstractNumId w:val="8"/>
  </w:num>
  <w:num w:numId="34" w16cid:durableId="1284506694">
    <w:abstractNumId w:val="13"/>
  </w:num>
  <w:num w:numId="35" w16cid:durableId="1325016233">
    <w:abstractNumId w:val="0"/>
  </w:num>
  <w:num w:numId="36" w16cid:durableId="1343359747">
    <w:abstractNumId w:val="0"/>
  </w:num>
  <w:num w:numId="37" w16cid:durableId="1198930548">
    <w:abstractNumId w:val="0"/>
  </w:num>
  <w:num w:numId="38" w16cid:durableId="310453692">
    <w:abstractNumId w:val="1"/>
  </w:num>
  <w:num w:numId="39" w16cid:durableId="167052280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B7E880-A32E-4DFD-8F82-FD36051080D4}"/>
    <w:docVar w:name="dgnword-eventsink" w:val="429862664"/>
    <w:docVar w:name="VCAT Seal" w:val="False"/>
  </w:docVars>
  <w:rsids>
    <w:rsidRoot w:val="00704477"/>
    <w:rsid w:val="00007057"/>
    <w:rsid w:val="0001113F"/>
    <w:rsid w:val="000163C1"/>
    <w:rsid w:val="00017F00"/>
    <w:rsid w:val="00023A8D"/>
    <w:rsid w:val="00027F01"/>
    <w:rsid w:val="000338B3"/>
    <w:rsid w:val="00046598"/>
    <w:rsid w:val="00057004"/>
    <w:rsid w:val="000574A7"/>
    <w:rsid w:val="00061FEB"/>
    <w:rsid w:val="00062780"/>
    <w:rsid w:val="00063C31"/>
    <w:rsid w:val="0006501C"/>
    <w:rsid w:val="00071BD5"/>
    <w:rsid w:val="00085337"/>
    <w:rsid w:val="000854CC"/>
    <w:rsid w:val="00087F7D"/>
    <w:rsid w:val="000945F9"/>
    <w:rsid w:val="00094A20"/>
    <w:rsid w:val="000B2A39"/>
    <w:rsid w:val="000D34CD"/>
    <w:rsid w:val="000F1C8E"/>
    <w:rsid w:val="000F4E28"/>
    <w:rsid w:val="001042D4"/>
    <w:rsid w:val="00107391"/>
    <w:rsid w:val="00124A72"/>
    <w:rsid w:val="00124C1E"/>
    <w:rsid w:val="00136A18"/>
    <w:rsid w:val="00136E5A"/>
    <w:rsid w:val="001467BB"/>
    <w:rsid w:val="00152541"/>
    <w:rsid w:val="00152865"/>
    <w:rsid w:val="0015292B"/>
    <w:rsid w:val="001567AE"/>
    <w:rsid w:val="0016093F"/>
    <w:rsid w:val="00163377"/>
    <w:rsid w:val="00165BC7"/>
    <w:rsid w:val="00167876"/>
    <w:rsid w:val="001708C4"/>
    <w:rsid w:val="0018330C"/>
    <w:rsid w:val="00183B0D"/>
    <w:rsid w:val="00195DE5"/>
    <w:rsid w:val="001A23C1"/>
    <w:rsid w:val="001A2749"/>
    <w:rsid w:val="001A37B3"/>
    <w:rsid w:val="001B44F8"/>
    <w:rsid w:val="001D63A4"/>
    <w:rsid w:val="001D71C4"/>
    <w:rsid w:val="001E49C7"/>
    <w:rsid w:val="001F2D3D"/>
    <w:rsid w:val="00200D9E"/>
    <w:rsid w:val="00203837"/>
    <w:rsid w:val="00210733"/>
    <w:rsid w:val="00213284"/>
    <w:rsid w:val="0023472F"/>
    <w:rsid w:val="00234CB1"/>
    <w:rsid w:val="00241E1F"/>
    <w:rsid w:val="0024259D"/>
    <w:rsid w:val="00245ADE"/>
    <w:rsid w:val="002563BE"/>
    <w:rsid w:val="00261E5D"/>
    <w:rsid w:val="00275046"/>
    <w:rsid w:val="002810EE"/>
    <w:rsid w:val="0028144B"/>
    <w:rsid w:val="0028244B"/>
    <w:rsid w:val="002855A6"/>
    <w:rsid w:val="00290F9B"/>
    <w:rsid w:val="00292F6E"/>
    <w:rsid w:val="00293A03"/>
    <w:rsid w:val="0029551D"/>
    <w:rsid w:val="002A0350"/>
    <w:rsid w:val="002A47E1"/>
    <w:rsid w:val="002A52E0"/>
    <w:rsid w:val="002B0725"/>
    <w:rsid w:val="002B7051"/>
    <w:rsid w:val="002C0902"/>
    <w:rsid w:val="002D05B6"/>
    <w:rsid w:val="002F27B5"/>
    <w:rsid w:val="00300580"/>
    <w:rsid w:val="00307A4D"/>
    <w:rsid w:val="00312D8A"/>
    <w:rsid w:val="0031301B"/>
    <w:rsid w:val="0032102D"/>
    <w:rsid w:val="003217F2"/>
    <w:rsid w:val="00322661"/>
    <w:rsid w:val="00333C5A"/>
    <w:rsid w:val="0034213D"/>
    <w:rsid w:val="003424A5"/>
    <w:rsid w:val="00351B35"/>
    <w:rsid w:val="0035346E"/>
    <w:rsid w:val="003548C8"/>
    <w:rsid w:val="00356882"/>
    <w:rsid w:val="0036002A"/>
    <w:rsid w:val="00361E5C"/>
    <w:rsid w:val="00361EF0"/>
    <w:rsid w:val="00366B10"/>
    <w:rsid w:val="00375AFC"/>
    <w:rsid w:val="003813E9"/>
    <w:rsid w:val="003914BD"/>
    <w:rsid w:val="00395F50"/>
    <w:rsid w:val="003A6FED"/>
    <w:rsid w:val="003B5E75"/>
    <w:rsid w:val="003D546E"/>
    <w:rsid w:val="003D7278"/>
    <w:rsid w:val="003E11C8"/>
    <w:rsid w:val="003E2816"/>
    <w:rsid w:val="003E69ED"/>
    <w:rsid w:val="003F6787"/>
    <w:rsid w:val="00434BAA"/>
    <w:rsid w:val="004425C4"/>
    <w:rsid w:val="004554F9"/>
    <w:rsid w:val="00457849"/>
    <w:rsid w:val="00461CC1"/>
    <w:rsid w:val="00466121"/>
    <w:rsid w:val="00467B86"/>
    <w:rsid w:val="00477574"/>
    <w:rsid w:val="004835F0"/>
    <w:rsid w:val="004866BE"/>
    <w:rsid w:val="004878BC"/>
    <w:rsid w:val="004908EE"/>
    <w:rsid w:val="004919B5"/>
    <w:rsid w:val="00495762"/>
    <w:rsid w:val="00495D3B"/>
    <w:rsid w:val="004A201D"/>
    <w:rsid w:val="004B3605"/>
    <w:rsid w:val="004C31CB"/>
    <w:rsid w:val="004C49F4"/>
    <w:rsid w:val="004D0391"/>
    <w:rsid w:val="004D2122"/>
    <w:rsid w:val="004D21B2"/>
    <w:rsid w:val="004E5027"/>
    <w:rsid w:val="004E558C"/>
    <w:rsid w:val="004F52FA"/>
    <w:rsid w:val="004F54C1"/>
    <w:rsid w:val="004F6CEE"/>
    <w:rsid w:val="00500E64"/>
    <w:rsid w:val="00507674"/>
    <w:rsid w:val="00507771"/>
    <w:rsid w:val="0051049E"/>
    <w:rsid w:val="00510802"/>
    <w:rsid w:val="00516292"/>
    <w:rsid w:val="00525088"/>
    <w:rsid w:val="00527BF9"/>
    <w:rsid w:val="00531584"/>
    <w:rsid w:val="005454BC"/>
    <w:rsid w:val="0054683F"/>
    <w:rsid w:val="00555C9F"/>
    <w:rsid w:val="00567B06"/>
    <w:rsid w:val="00573CB1"/>
    <w:rsid w:val="00576A01"/>
    <w:rsid w:val="0058084D"/>
    <w:rsid w:val="00581C1B"/>
    <w:rsid w:val="0059145F"/>
    <w:rsid w:val="005A674A"/>
    <w:rsid w:val="005B3D5D"/>
    <w:rsid w:val="005D408F"/>
    <w:rsid w:val="005D428A"/>
    <w:rsid w:val="005D6C47"/>
    <w:rsid w:val="005D77CE"/>
    <w:rsid w:val="005E0C54"/>
    <w:rsid w:val="005E1511"/>
    <w:rsid w:val="005E2D20"/>
    <w:rsid w:val="005E4824"/>
    <w:rsid w:val="005F6FDD"/>
    <w:rsid w:val="006020AD"/>
    <w:rsid w:val="006047F4"/>
    <w:rsid w:val="00604881"/>
    <w:rsid w:val="006055E1"/>
    <w:rsid w:val="00612DFC"/>
    <w:rsid w:val="00614F2D"/>
    <w:rsid w:val="00623395"/>
    <w:rsid w:val="00634ED7"/>
    <w:rsid w:val="00640D63"/>
    <w:rsid w:val="00647F43"/>
    <w:rsid w:val="0065338E"/>
    <w:rsid w:val="00660E38"/>
    <w:rsid w:val="00665E2E"/>
    <w:rsid w:val="006721B6"/>
    <w:rsid w:val="00674DB7"/>
    <w:rsid w:val="0067578B"/>
    <w:rsid w:val="00680AFF"/>
    <w:rsid w:val="00682C14"/>
    <w:rsid w:val="00684058"/>
    <w:rsid w:val="006868E6"/>
    <w:rsid w:val="00697776"/>
    <w:rsid w:val="006B3C86"/>
    <w:rsid w:val="006B46B0"/>
    <w:rsid w:val="006C39E9"/>
    <w:rsid w:val="006C7549"/>
    <w:rsid w:val="006D3724"/>
    <w:rsid w:val="006E082F"/>
    <w:rsid w:val="006E29A7"/>
    <w:rsid w:val="006E6958"/>
    <w:rsid w:val="006E7914"/>
    <w:rsid w:val="006F6146"/>
    <w:rsid w:val="00704477"/>
    <w:rsid w:val="00705098"/>
    <w:rsid w:val="00726365"/>
    <w:rsid w:val="007301D6"/>
    <w:rsid w:val="00745E58"/>
    <w:rsid w:val="00750E1A"/>
    <w:rsid w:val="00752830"/>
    <w:rsid w:val="00752CB4"/>
    <w:rsid w:val="00761195"/>
    <w:rsid w:val="007613DF"/>
    <w:rsid w:val="00762B05"/>
    <w:rsid w:val="00763504"/>
    <w:rsid w:val="00764EDD"/>
    <w:rsid w:val="00774126"/>
    <w:rsid w:val="00776999"/>
    <w:rsid w:val="00776E03"/>
    <w:rsid w:val="00777F01"/>
    <w:rsid w:val="00780572"/>
    <w:rsid w:val="00786C65"/>
    <w:rsid w:val="00794532"/>
    <w:rsid w:val="0079593A"/>
    <w:rsid w:val="00796305"/>
    <w:rsid w:val="007A2132"/>
    <w:rsid w:val="007C3627"/>
    <w:rsid w:val="007C3CE4"/>
    <w:rsid w:val="007D487A"/>
    <w:rsid w:val="007D6D61"/>
    <w:rsid w:val="007F25EF"/>
    <w:rsid w:val="007F601B"/>
    <w:rsid w:val="007F6D39"/>
    <w:rsid w:val="007F77A1"/>
    <w:rsid w:val="008128BB"/>
    <w:rsid w:val="00812BED"/>
    <w:rsid w:val="00812EEA"/>
    <w:rsid w:val="0081475E"/>
    <w:rsid w:val="008265B7"/>
    <w:rsid w:val="00830459"/>
    <w:rsid w:val="00840528"/>
    <w:rsid w:val="0084488B"/>
    <w:rsid w:val="0084497D"/>
    <w:rsid w:val="008602F8"/>
    <w:rsid w:val="00862628"/>
    <w:rsid w:val="00874DE7"/>
    <w:rsid w:val="00876F65"/>
    <w:rsid w:val="00882E00"/>
    <w:rsid w:val="0089278A"/>
    <w:rsid w:val="008A247D"/>
    <w:rsid w:val="008A46EC"/>
    <w:rsid w:val="008A4A02"/>
    <w:rsid w:val="008A5793"/>
    <w:rsid w:val="008B4936"/>
    <w:rsid w:val="008B7EB8"/>
    <w:rsid w:val="008C1674"/>
    <w:rsid w:val="008E56F9"/>
    <w:rsid w:val="008F4D86"/>
    <w:rsid w:val="008F6856"/>
    <w:rsid w:val="00900CDB"/>
    <w:rsid w:val="0091212B"/>
    <w:rsid w:val="00924205"/>
    <w:rsid w:val="00926A96"/>
    <w:rsid w:val="00932AF9"/>
    <w:rsid w:val="0094148C"/>
    <w:rsid w:val="00943FC2"/>
    <w:rsid w:val="00956463"/>
    <w:rsid w:val="009804A9"/>
    <w:rsid w:val="00993294"/>
    <w:rsid w:val="009A23D5"/>
    <w:rsid w:val="009B3927"/>
    <w:rsid w:val="009B6420"/>
    <w:rsid w:val="009C06C7"/>
    <w:rsid w:val="009C0BF4"/>
    <w:rsid w:val="009D0685"/>
    <w:rsid w:val="009D1119"/>
    <w:rsid w:val="009D29F8"/>
    <w:rsid w:val="009E05AF"/>
    <w:rsid w:val="009E4A30"/>
    <w:rsid w:val="009E5591"/>
    <w:rsid w:val="00A150D3"/>
    <w:rsid w:val="00A17F46"/>
    <w:rsid w:val="00A30D6A"/>
    <w:rsid w:val="00A31045"/>
    <w:rsid w:val="00A35800"/>
    <w:rsid w:val="00A40BE7"/>
    <w:rsid w:val="00A41CC2"/>
    <w:rsid w:val="00A41E17"/>
    <w:rsid w:val="00A43093"/>
    <w:rsid w:val="00A53783"/>
    <w:rsid w:val="00A90A38"/>
    <w:rsid w:val="00A928F5"/>
    <w:rsid w:val="00A96E34"/>
    <w:rsid w:val="00AA2C8C"/>
    <w:rsid w:val="00AA587E"/>
    <w:rsid w:val="00AB29FA"/>
    <w:rsid w:val="00AB731E"/>
    <w:rsid w:val="00AD3904"/>
    <w:rsid w:val="00AD4CD3"/>
    <w:rsid w:val="00B01DC8"/>
    <w:rsid w:val="00B134F7"/>
    <w:rsid w:val="00B160AF"/>
    <w:rsid w:val="00B16472"/>
    <w:rsid w:val="00B22EB5"/>
    <w:rsid w:val="00B24225"/>
    <w:rsid w:val="00B24B9B"/>
    <w:rsid w:val="00B30FB4"/>
    <w:rsid w:val="00B355D6"/>
    <w:rsid w:val="00B36ACB"/>
    <w:rsid w:val="00B371E4"/>
    <w:rsid w:val="00B578BE"/>
    <w:rsid w:val="00B61391"/>
    <w:rsid w:val="00B713F6"/>
    <w:rsid w:val="00B71FC2"/>
    <w:rsid w:val="00B8548B"/>
    <w:rsid w:val="00B876A2"/>
    <w:rsid w:val="00B91095"/>
    <w:rsid w:val="00B93365"/>
    <w:rsid w:val="00B95A27"/>
    <w:rsid w:val="00BA1951"/>
    <w:rsid w:val="00BA730E"/>
    <w:rsid w:val="00BB4E1A"/>
    <w:rsid w:val="00BB7851"/>
    <w:rsid w:val="00BC219D"/>
    <w:rsid w:val="00BC3F51"/>
    <w:rsid w:val="00BC7D6E"/>
    <w:rsid w:val="00BE1A4A"/>
    <w:rsid w:val="00C0235B"/>
    <w:rsid w:val="00C0654D"/>
    <w:rsid w:val="00C0662A"/>
    <w:rsid w:val="00C10388"/>
    <w:rsid w:val="00C200D6"/>
    <w:rsid w:val="00C26EBF"/>
    <w:rsid w:val="00C5399D"/>
    <w:rsid w:val="00C706C2"/>
    <w:rsid w:val="00C7408F"/>
    <w:rsid w:val="00C838DB"/>
    <w:rsid w:val="00C902D7"/>
    <w:rsid w:val="00C911E9"/>
    <w:rsid w:val="00C94465"/>
    <w:rsid w:val="00C96F4D"/>
    <w:rsid w:val="00CA2144"/>
    <w:rsid w:val="00CA2642"/>
    <w:rsid w:val="00CB2658"/>
    <w:rsid w:val="00CC19B1"/>
    <w:rsid w:val="00CC6FF1"/>
    <w:rsid w:val="00CD03CB"/>
    <w:rsid w:val="00CD1F2A"/>
    <w:rsid w:val="00CD6B84"/>
    <w:rsid w:val="00CE1552"/>
    <w:rsid w:val="00CE2838"/>
    <w:rsid w:val="00CF13F6"/>
    <w:rsid w:val="00D01654"/>
    <w:rsid w:val="00D03F21"/>
    <w:rsid w:val="00D13BA6"/>
    <w:rsid w:val="00D14A42"/>
    <w:rsid w:val="00D1760C"/>
    <w:rsid w:val="00D23389"/>
    <w:rsid w:val="00D24AFE"/>
    <w:rsid w:val="00D24B15"/>
    <w:rsid w:val="00D44FBF"/>
    <w:rsid w:val="00D55097"/>
    <w:rsid w:val="00D6081F"/>
    <w:rsid w:val="00D616BA"/>
    <w:rsid w:val="00D62CD9"/>
    <w:rsid w:val="00D63E09"/>
    <w:rsid w:val="00D64D3E"/>
    <w:rsid w:val="00D847D2"/>
    <w:rsid w:val="00DA0064"/>
    <w:rsid w:val="00DA6FA5"/>
    <w:rsid w:val="00DB6A3D"/>
    <w:rsid w:val="00DC7C16"/>
    <w:rsid w:val="00DD0F39"/>
    <w:rsid w:val="00DD240D"/>
    <w:rsid w:val="00DD465E"/>
    <w:rsid w:val="00DE2873"/>
    <w:rsid w:val="00E002C5"/>
    <w:rsid w:val="00E0466E"/>
    <w:rsid w:val="00E200CF"/>
    <w:rsid w:val="00E22A2C"/>
    <w:rsid w:val="00E251E8"/>
    <w:rsid w:val="00E47746"/>
    <w:rsid w:val="00E62037"/>
    <w:rsid w:val="00E63B51"/>
    <w:rsid w:val="00E90C04"/>
    <w:rsid w:val="00EA4DC3"/>
    <w:rsid w:val="00EA5010"/>
    <w:rsid w:val="00EA5975"/>
    <w:rsid w:val="00EA642B"/>
    <w:rsid w:val="00EB27CF"/>
    <w:rsid w:val="00EB474F"/>
    <w:rsid w:val="00EC52AF"/>
    <w:rsid w:val="00ED51DB"/>
    <w:rsid w:val="00ED56ED"/>
    <w:rsid w:val="00ED6319"/>
    <w:rsid w:val="00EE5E8E"/>
    <w:rsid w:val="00EE7996"/>
    <w:rsid w:val="00F143E6"/>
    <w:rsid w:val="00F17F85"/>
    <w:rsid w:val="00F229E1"/>
    <w:rsid w:val="00F338E1"/>
    <w:rsid w:val="00F44739"/>
    <w:rsid w:val="00F4545D"/>
    <w:rsid w:val="00F47210"/>
    <w:rsid w:val="00F54D1A"/>
    <w:rsid w:val="00F55C68"/>
    <w:rsid w:val="00F57E44"/>
    <w:rsid w:val="00F60617"/>
    <w:rsid w:val="00F61ED0"/>
    <w:rsid w:val="00F773CF"/>
    <w:rsid w:val="00F82017"/>
    <w:rsid w:val="00F9058C"/>
    <w:rsid w:val="00F94FD0"/>
    <w:rsid w:val="00FB5D9A"/>
    <w:rsid w:val="00FB7417"/>
    <w:rsid w:val="00FE6146"/>
    <w:rsid w:val="00FE7D66"/>
    <w:rsid w:val="00FF4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A1F8874"/>
  <w15:chartTrackingRefBased/>
  <w15:docId w15:val="{64A8AD68-AC76-4B9A-A213-426B1782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3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9"/>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2"/>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7"/>
      </w:numPr>
    </w:pPr>
  </w:style>
  <w:style w:type="paragraph" w:customStyle="1" w:styleId="Para3">
    <w:name w:val="Para 3"/>
    <w:basedOn w:val="Para2"/>
    <w:qFormat/>
    <w:rsid w:val="008128BB"/>
    <w:pPr>
      <w:numPr>
        <w:numId w:val="4"/>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3"/>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rsid w:val="00763504"/>
    <w:pPr>
      <w:spacing w:after="120" w:line="300" w:lineRule="atLeast"/>
    </w:pPr>
  </w:style>
  <w:style w:type="numbering" w:customStyle="1" w:styleId="Style1">
    <w:name w:val="Style1"/>
    <w:uiPriority w:val="99"/>
    <w:rsid w:val="000945F9"/>
    <w:pPr>
      <w:numPr>
        <w:numId w:val="5"/>
      </w:numPr>
    </w:pPr>
  </w:style>
  <w:style w:type="paragraph" w:customStyle="1" w:styleId="Condition2">
    <w:name w:val="Condition 2"/>
    <w:basedOn w:val="Condition1"/>
    <w:rsid w:val="00812EEA"/>
    <w:pPr>
      <w:numPr>
        <w:numId w:val="6"/>
      </w:numPr>
    </w:pPr>
  </w:style>
  <w:style w:type="paragraph" w:customStyle="1" w:styleId="Condition3">
    <w:name w:val="Condition 3"/>
    <w:basedOn w:val="Condition1"/>
    <w:rsid w:val="00812EEA"/>
    <w:pPr>
      <w:ind w:left="567"/>
    </w:pPr>
  </w:style>
  <w:style w:type="paragraph" w:customStyle="1" w:styleId="Order3">
    <w:name w:val="Order 3"/>
    <w:basedOn w:val="Order1"/>
    <w:qFormat/>
    <w:rsid w:val="00EA5010"/>
    <w:pPr>
      <w:ind w:left="567"/>
    </w:pPr>
  </w:style>
  <w:style w:type="paragraph" w:styleId="Revision">
    <w:name w:val="Revision"/>
    <w:hidden/>
    <w:uiPriority w:val="99"/>
    <w:semiHidden/>
    <w:rsid w:val="00457849"/>
    <w:rPr>
      <w:sz w:val="26"/>
      <w:szCs w:val="26"/>
      <w:lang w:eastAsia="en-US"/>
    </w:rPr>
  </w:style>
  <w:style w:type="character" w:styleId="CommentReference">
    <w:name w:val="annotation reference"/>
    <w:basedOn w:val="DefaultParagraphFont"/>
    <w:uiPriority w:val="99"/>
    <w:semiHidden/>
    <w:unhideWhenUsed/>
    <w:rsid w:val="004C49F4"/>
    <w:rPr>
      <w:sz w:val="16"/>
      <w:szCs w:val="16"/>
    </w:rPr>
  </w:style>
  <w:style w:type="paragraph" w:styleId="CommentText">
    <w:name w:val="annotation text"/>
    <w:basedOn w:val="Normal"/>
    <w:link w:val="CommentTextChar"/>
    <w:uiPriority w:val="99"/>
    <w:unhideWhenUsed/>
    <w:rsid w:val="004C49F4"/>
    <w:rPr>
      <w:sz w:val="20"/>
      <w:szCs w:val="20"/>
    </w:rPr>
  </w:style>
  <w:style w:type="character" w:customStyle="1" w:styleId="CommentTextChar">
    <w:name w:val="Comment Text Char"/>
    <w:basedOn w:val="DefaultParagraphFont"/>
    <w:link w:val="CommentText"/>
    <w:uiPriority w:val="99"/>
    <w:rsid w:val="004C49F4"/>
    <w:rPr>
      <w:lang w:eastAsia="en-US"/>
    </w:rPr>
  </w:style>
  <w:style w:type="paragraph" w:styleId="CommentSubject">
    <w:name w:val="annotation subject"/>
    <w:basedOn w:val="CommentText"/>
    <w:next w:val="CommentText"/>
    <w:link w:val="CommentSubjectChar"/>
    <w:uiPriority w:val="99"/>
    <w:semiHidden/>
    <w:unhideWhenUsed/>
    <w:rsid w:val="004C49F4"/>
    <w:rPr>
      <w:b/>
      <w:bCs/>
    </w:rPr>
  </w:style>
  <w:style w:type="character" w:customStyle="1" w:styleId="CommentSubjectChar">
    <w:name w:val="Comment Subject Char"/>
    <w:basedOn w:val="CommentTextChar"/>
    <w:link w:val="CommentSubject"/>
    <w:uiPriority w:val="99"/>
    <w:semiHidden/>
    <w:rsid w:val="004C49F4"/>
    <w:rPr>
      <w:b/>
      <w:bCs/>
      <w:lang w:eastAsia="en-US"/>
    </w:rPr>
  </w:style>
  <w:style w:type="character" w:styleId="Hyperlink">
    <w:name w:val="Hyperlink"/>
    <w:basedOn w:val="DefaultParagraphFont"/>
    <w:uiPriority w:val="99"/>
    <w:unhideWhenUsed/>
    <w:rsid w:val="008F4D86"/>
    <w:rPr>
      <w:color w:val="0563C1" w:themeColor="hyperlink"/>
      <w:u w:val="single"/>
    </w:rPr>
  </w:style>
  <w:style w:type="character" w:styleId="UnresolvedMention">
    <w:name w:val="Unresolved Mention"/>
    <w:basedOn w:val="DefaultParagraphFont"/>
    <w:uiPriority w:val="99"/>
    <w:semiHidden/>
    <w:unhideWhenUsed/>
    <w:rsid w:val="008F4D86"/>
    <w:rPr>
      <w:color w:val="605E5C"/>
      <w:shd w:val="clear" w:color="auto" w:fill="E1DFDD"/>
    </w:rPr>
  </w:style>
  <w:style w:type="character" w:styleId="FollowedHyperlink">
    <w:name w:val="FollowedHyperlink"/>
    <w:basedOn w:val="DefaultParagraphFont"/>
    <w:uiPriority w:val="99"/>
    <w:semiHidden/>
    <w:unhideWhenUsed/>
    <w:rsid w:val="00395F50"/>
    <w:rPr>
      <w:color w:val="954F72" w:themeColor="followedHyperlink"/>
      <w:u w:val="single"/>
    </w:rPr>
  </w:style>
  <w:style w:type="paragraph" w:styleId="NormalWeb">
    <w:name w:val="Normal (Web)"/>
    <w:basedOn w:val="Normal"/>
    <w:uiPriority w:val="99"/>
    <w:semiHidden/>
    <w:unhideWhenUsed/>
    <w:rsid w:val="00B95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732">
      <w:bodyDiv w:val="1"/>
      <w:marLeft w:val="0"/>
      <w:marRight w:val="0"/>
      <w:marTop w:val="0"/>
      <w:marBottom w:val="0"/>
      <w:divBdr>
        <w:top w:val="none" w:sz="0" w:space="0" w:color="auto"/>
        <w:left w:val="none" w:sz="0" w:space="0" w:color="auto"/>
        <w:bottom w:val="none" w:sz="0" w:space="0" w:color="auto"/>
        <w:right w:val="none" w:sz="0" w:space="0" w:color="auto"/>
      </w:divBdr>
      <w:divsChild>
        <w:div w:id="866673367">
          <w:marLeft w:val="0"/>
          <w:marRight w:val="0"/>
          <w:marTop w:val="0"/>
          <w:marBottom w:val="0"/>
          <w:divBdr>
            <w:top w:val="none" w:sz="0" w:space="0" w:color="auto"/>
            <w:left w:val="none" w:sz="0" w:space="0" w:color="auto"/>
            <w:bottom w:val="none" w:sz="0" w:space="0" w:color="auto"/>
            <w:right w:val="none" w:sz="0" w:space="0" w:color="auto"/>
          </w:divBdr>
          <w:divsChild>
            <w:div w:id="7878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24341265">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63569888">
      <w:bodyDiv w:val="1"/>
      <w:marLeft w:val="0"/>
      <w:marRight w:val="0"/>
      <w:marTop w:val="0"/>
      <w:marBottom w:val="0"/>
      <w:divBdr>
        <w:top w:val="none" w:sz="0" w:space="0" w:color="auto"/>
        <w:left w:val="none" w:sz="0" w:space="0" w:color="auto"/>
        <w:bottom w:val="none" w:sz="0" w:space="0" w:color="auto"/>
        <w:right w:val="none" w:sz="0" w:space="0" w:color="auto"/>
      </w:divBdr>
    </w:div>
    <w:div w:id="563637275">
      <w:bodyDiv w:val="1"/>
      <w:marLeft w:val="0"/>
      <w:marRight w:val="0"/>
      <w:marTop w:val="0"/>
      <w:marBottom w:val="0"/>
      <w:divBdr>
        <w:top w:val="none" w:sz="0" w:space="0" w:color="auto"/>
        <w:left w:val="none" w:sz="0" w:space="0" w:color="auto"/>
        <w:bottom w:val="none" w:sz="0" w:space="0" w:color="auto"/>
        <w:right w:val="none" w:sz="0" w:space="0" w:color="auto"/>
      </w:divBdr>
    </w:div>
    <w:div w:id="731002415">
      <w:bodyDiv w:val="1"/>
      <w:marLeft w:val="0"/>
      <w:marRight w:val="0"/>
      <w:marTop w:val="0"/>
      <w:marBottom w:val="0"/>
      <w:divBdr>
        <w:top w:val="none" w:sz="0" w:space="0" w:color="auto"/>
        <w:left w:val="none" w:sz="0" w:space="0" w:color="auto"/>
        <w:bottom w:val="none" w:sz="0" w:space="0" w:color="auto"/>
        <w:right w:val="none" w:sz="0" w:space="0" w:color="auto"/>
      </w:divBdr>
      <w:divsChild>
        <w:div w:id="564486118">
          <w:marLeft w:val="0"/>
          <w:marRight w:val="0"/>
          <w:marTop w:val="0"/>
          <w:marBottom w:val="0"/>
          <w:divBdr>
            <w:top w:val="none" w:sz="0" w:space="0" w:color="auto"/>
            <w:left w:val="none" w:sz="0" w:space="0" w:color="auto"/>
            <w:bottom w:val="none" w:sz="0" w:space="0" w:color="auto"/>
            <w:right w:val="none" w:sz="0" w:space="0" w:color="auto"/>
          </w:divBdr>
          <w:divsChild>
            <w:div w:id="20855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HRL%20Decision%20template%20-%20Decemb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4AD0-2818-457E-B8CF-DE130350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HRL Decision template - December 2017.dotx</Template>
  <TotalTime>3</TotalTime>
  <Pages>20</Pages>
  <Words>7094</Words>
  <Characters>40440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Jessica Petrovski (CSV)</cp:lastModifiedBy>
  <cp:revision>3</cp:revision>
  <cp:lastPrinted>2023-11-20T21:02:00Z</cp:lastPrinted>
  <dcterms:created xsi:type="dcterms:W3CDTF">2023-11-21T01:24:00Z</dcterms:created>
  <dcterms:modified xsi:type="dcterms:W3CDTF">2023-11-21T01:25:00Z</dcterms:modified>
</cp:coreProperties>
</file>